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1D7361">
      <w:pPr>
        <w:spacing w:line="360" w:lineRule="auto"/>
        <w:jc w:val="center"/>
        <w:rPr>
          <w:rFonts w:hint="eastAsia" w:ascii="黑体" w:hAnsi="宋体" w:eastAsia="黑体"/>
          <w:b/>
          <w:bCs/>
          <w:color w:val="000000"/>
          <w:sz w:val="52"/>
          <w:szCs w:val="52"/>
        </w:rPr>
      </w:pPr>
      <w:bookmarkStart w:id="22" w:name="_GoBack"/>
      <w:bookmarkEnd w:id="22"/>
      <w:r>
        <w:rPr>
          <w:rFonts w:hint="eastAsia" w:ascii="黑体" w:hAnsi="宋体" w:eastAsia="黑体"/>
          <w:b/>
          <w:bCs/>
          <w:color w:val="000000"/>
          <w:sz w:val="52"/>
          <w:szCs w:val="52"/>
        </w:rPr>
        <w:t xml:space="preserve"> </w:t>
      </w:r>
    </w:p>
    <w:p w14:paraId="3FE05550">
      <w:pPr>
        <w:spacing w:line="360" w:lineRule="auto"/>
        <w:jc w:val="center"/>
        <w:rPr>
          <w:rFonts w:hint="eastAsia" w:ascii="黑体" w:hAnsi="宋体" w:eastAsia="黑体"/>
          <w:b/>
          <w:bCs/>
          <w:color w:val="000000"/>
          <w:sz w:val="52"/>
          <w:szCs w:val="52"/>
        </w:rPr>
      </w:pPr>
    </w:p>
    <w:p w14:paraId="1C35A852">
      <w:pPr>
        <w:spacing w:line="720" w:lineRule="auto"/>
        <w:jc w:val="center"/>
        <w:rPr>
          <w:rFonts w:hint="eastAsia" w:ascii="黑体" w:hAnsi="宋体" w:eastAsia="黑体"/>
          <w:b/>
          <w:bCs/>
          <w:color w:val="000000"/>
          <w:sz w:val="44"/>
          <w:szCs w:val="44"/>
        </w:rPr>
      </w:pPr>
      <w:r>
        <w:rPr>
          <w:rFonts w:hint="eastAsia" w:ascii="黑体" w:hAnsi="宋体" w:eastAsia="黑体"/>
          <w:b/>
          <w:bCs/>
          <w:color w:val="000000"/>
          <w:sz w:val="44"/>
          <w:szCs w:val="44"/>
        </w:rPr>
        <w:t>中国港口协会团体标准</w:t>
      </w:r>
    </w:p>
    <w:p w14:paraId="5187057D">
      <w:pPr>
        <w:spacing w:line="720" w:lineRule="auto"/>
        <w:jc w:val="center"/>
        <w:rPr>
          <w:rFonts w:hint="eastAsia" w:ascii="黑体" w:hAnsi="宋体" w:eastAsia="黑体"/>
          <w:b/>
          <w:bCs/>
          <w:color w:val="000000"/>
          <w:sz w:val="44"/>
          <w:szCs w:val="44"/>
        </w:rPr>
      </w:pPr>
      <w:r>
        <w:rPr>
          <w:rFonts w:hint="eastAsia" w:ascii="黑体" w:hAnsi="宋体" w:eastAsia="黑体"/>
          <w:b/>
          <w:bCs/>
          <w:color w:val="000000"/>
          <w:sz w:val="44"/>
          <w:szCs w:val="44"/>
        </w:rPr>
        <w:t>港口自动化设备智能管理系统技术要求</w:t>
      </w:r>
    </w:p>
    <w:p w14:paraId="43EA72FD">
      <w:pPr>
        <w:spacing w:line="720" w:lineRule="auto"/>
        <w:jc w:val="center"/>
        <w:rPr>
          <w:rFonts w:hint="eastAsia" w:ascii="黑体" w:hAnsi="宋体" w:eastAsia="黑体"/>
          <w:b/>
          <w:bCs/>
          <w:color w:val="000000"/>
          <w:sz w:val="44"/>
          <w:szCs w:val="44"/>
        </w:rPr>
      </w:pPr>
      <w:r>
        <w:rPr>
          <w:rFonts w:hint="eastAsia" w:ascii="黑体" w:hAnsi="宋体" w:eastAsia="黑体"/>
          <w:b/>
          <w:bCs/>
          <w:color w:val="000000"/>
          <w:sz w:val="44"/>
          <w:szCs w:val="44"/>
        </w:rPr>
        <w:t>（征求意见稿）</w:t>
      </w:r>
    </w:p>
    <w:p w14:paraId="144A20F0">
      <w:pPr>
        <w:spacing w:line="720" w:lineRule="auto"/>
        <w:jc w:val="center"/>
        <w:rPr>
          <w:rFonts w:hint="eastAsia" w:ascii="黑体" w:hAnsi="宋体" w:eastAsia="黑体"/>
          <w:b/>
          <w:bCs/>
          <w:color w:val="000000"/>
          <w:sz w:val="44"/>
          <w:szCs w:val="44"/>
        </w:rPr>
      </w:pPr>
      <w:r>
        <w:rPr>
          <w:rFonts w:hint="eastAsia" w:ascii="黑体" w:hAnsi="宋体" w:eastAsia="黑体"/>
          <w:b/>
          <w:bCs/>
          <w:color w:val="000000"/>
          <w:sz w:val="44"/>
          <w:szCs w:val="44"/>
        </w:rPr>
        <w:t>编制说明</w:t>
      </w:r>
    </w:p>
    <w:p w14:paraId="7ADE6689">
      <w:pPr>
        <w:spacing w:line="360" w:lineRule="auto"/>
        <w:ind w:firstLine="435"/>
        <w:jc w:val="center"/>
        <w:rPr>
          <w:rFonts w:hint="eastAsia" w:ascii="黑体" w:hAnsi="宋体" w:eastAsia="黑体"/>
          <w:b/>
          <w:bCs/>
          <w:color w:val="000000"/>
          <w:sz w:val="28"/>
          <w:szCs w:val="28"/>
        </w:rPr>
      </w:pPr>
    </w:p>
    <w:p w14:paraId="41107D52">
      <w:pPr>
        <w:spacing w:line="360" w:lineRule="auto"/>
        <w:ind w:firstLine="435"/>
        <w:jc w:val="center"/>
        <w:rPr>
          <w:rFonts w:hint="eastAsia" w:ascii="黑体" w:hAnsi="宋体" w:eastAsia="黑体"/>
          <w:b/>
          <w:bCs/>
          <w:color w:val="000000"/>
          <w:sz w:val="28"/>
        </w:rPr>
      </w:pPr>
    </w:p>
    <w:p w14:paraId="30A48DD4">
      <w:pPr>
        <w:spacing w:line="360" w:lineRule="auto"/>
        <w:ind w:firstLine="435"/>
        <w:jc w:val="center"/>
        <w:rPr>
          <w:rFonts w:hint="eastAsia" w:ascii="黑体" w:hAnsi="宋体" w:eastAsia="黑体"/>
          <w:b/>
          <w:bCs/>
          <w:color w:val="000000"/>
          <w:sz w:val="28"/>
          <w:szCs w:val="28"/>
        </w:rPr>
      </w:pPr>
    </w:p>
    <w:p w14:paraId="33E1CC18">
      <w:pPr>
        <w:spacing w:line="360" w:lineRule="auto"/>
        <w:ind w:firstLine="435"/>
        <w:jc w:val="center"/>
        <w:rPr>
          <w:rFonts w:hint="eastAsia" w:ascii="黑体" w:hAnsi="宋体" w:eastAsia="黑体"/>
          <w:b/>
          <w:bCs/>
          <w:color w:val="000000"/>
          <w:sz w:val="28"/>
          <w:szCs w:val="28"/>
        </w:rPr>
      </w:pPr>
    </w:p>
    <w:p w14:paraId="785F7288">
      <w:pPr>
        <w:spacing w:line="360" w:lineRule="auto"/>
        <w:ind w:firstLine="435"/>
        <w:jc w:val="center"/>
        <w:rPr>
          <w:rFonts w:hint="eastAsia" w:ascii="黑体" w:hAnsi="宋体" w:eastAsia="黑体"/>
          <w:b/>
          <w:bCs/>
          <w:color w:val="000000"/>
          <w:sz w:val="28"/>
          <w:szCs w:val="28"/>
        </w:rPr>
      </w:pPr>
    </w:p>
    <w:p w14:paraId="00B9C5FE">
      <w:pPr>
        <w:spacing w:line="360" w:lineRule="auto"/>
        <w:ind w:firstLine="435"/>
        <w:jc w:val="center"/>
        <w:rPr>
          <w:rFonts w:hint="eastAsia" w:ascii="黑体" w:hAnsi="宋体" w:eastAsia="黑体"/>
          <w:b/>
          <w:bCs/>
          <w:color w:val="000000"/>
          <w:sz w:val="28"/>
          <w:szCs w:val="28"/>
        </w:rPr>
      </w:pPr>
    </w:p>
    <w:p w14:paraId="71ED5B0A">
      <w:pPr>
        <w:spacing w:line="360" w:lineRule="auto"/>
        <w:ind w:firstLine="435"/>
        <w:jc w:val="center"/>
        <w:rPr>
          <w:rFonts w:hint="eastAsia" w:ascii="黑体" w:hAnsi="宋体" w:eastAsia="黑体"/>
          <w:b/>
          <w:bCs/>
          <w:color w:val="000000"/>
          <w:sz w:val="28"/>
          <w:szCs w:val="28"/>
        </w:rPr>
      </w:pPr>
    </w:p>
    <w:p w14:paraId="39CA908F">
      <w:pPr>
        <w:spacing w:line="360" w:lineRule="auto"/>
        <w:ind w:firstLine="435"/>
        <w:jc w:val="center"/>
        <w:rPr>
          <w:rFonts w:hint="eastAsia" w:ascii="黑体" w:hAnsi="宋体" w:eastAsia="黑体"/>
          <w:b/>
          <w:bCs/>
          <w:color w:val="000000"/>
          <w:sz w:val="28"/>
          <w:szCs w:val="28"/>
        </w:rPr>
      </w:pPr>
    </w:p>
    <w:p w14:paraId="2B18A1FB">
      <w:pPr>
        <w:spacing w:line="360" w:lineRule="auto"/>
        <w:jc w:val="center"/>
        <w:rPr>
          <w:rFonts w:hint="eastAsia" w:ascii="黑体" w:hAnsi="宋体" w:eastAsia="黑体"/>
          <w:b/>
          <w:bCs/>
          <w:color w:val="000000"/>
          <w:sz w:val="32"/>
          <w:szCs w:val="32"/>
        </w:rPr>
      </w:pPr>
      <w:r>
        <w:rPr>
          <w:rFonts w:hint="eastAsia" w:ascii="黑体" w:hAnsi="宋体" w:eastAsia="黑体"/>
          <w:b/>
          <w:bCs/>
          <w:color w:val="000000"/>
          <w:sz w:val="32"/>
          <w:szCs w:val="32"/>
        </w:rPr>
        <w:t xml:space="preserve">  标准起草组</w:t>
      </w:r>
    </w:p>
    <w:p w14:paraId="6B0AE077">
      <w:pPr>
        <w:spacing w:line="360" w:lineRule="auto"/>
        <w:jc w:val="center"/>
        <w:rPr>
          <w:rFonts w:hint="eastAsia" w:ascii="黑体" w:hAnsi="宋体" w:eastAsia="黑体"/>
          <w:b/>
          <w:bCs/>
          <w:color w:val="000000"/>
          <w:sz w:val="32"/>
          <w:szCs w:val="32"/>
        </w:rPr>
      </w:pPr>
      <w:r>
        <w:rPr>
          <w:rFonts w:hint="eastAsia" w:ascii="黑体" w:hAnsi="宋体" w:eastAsia="黑体"/>
          <w:b/>
          <w:bCs/>
          <w:color w:val="000000"/>
          <w:sz w:val="32"/>
          <w:szCs w:val="32"/>
        </w:rPr>
        <w:t xml:space="preserve">  2025年8月</w:t>
      </w:r>
    </w:p>
    <w:p w14:paraId="1B521D9C">
      <w:pPr>
        <w:widowControl/>
        <w:jc w:val="left"/>
        <w:rPr>
          <w:rFonts w:hint="eastAsia" w:ascii="黑体" w:hAnsi="宋体" w:eastAsia="黑体"/>
          <w:b/>
          <w:bCs/>
          <w:color w:val="000000"/>
          <w:sz w:val="28"/>
        </w:rPr>
      </w:pPr>
      <w:r>
        <w:rPr>
          <w:rFonts w:ascii="黑体" w:hAnsi="宋体" w:eastAsia="黑体"/>
          <w:b/>
          <w:bCs/>
          <w:color w:val="000000"/>
          <w:sz w:val="28"/>
        </w:rPr>
        <w:br w:type="page"/>
      </w:r>
    </w:p>
    <w:p w14:paraId="38469E33"/>
    <w:p w14:paraId="082FCAAB">
      <w:pPr>
        <w:spacing w:line="360" w:lineRule="auto"/>
        <w:jc w:val="center"/>
        <w:rPr>
          <w:rFonts w:hint="eastAsia" w:ascii="黑体" w:hAnsi="宋体" w:eastAsia="黑体"/>
          <w:b/>
          <w:bCs/>
          <w:color w:val="000000"/>
          <w:sz w:val="32"/>
          <w:szCs w:val="32"/>
        </w:rPr>
      </w:pPr>
      <w:bookmarkStart w:id="0" w:name="_Toc486254126"/>
      <w:r>
        <w:rPr>
          <w:rFonts w:hint="eastAsia" w:ascii="黑体" w:hAnsi="宋体" w:eastAsia="黑体"/>
          <w:b/>
          <w:bCs/>
          <w:color w:val="000000"/>
          <w:sz w:val="32"/>
          <w:szCs w:val="32"/>
        </w:rPr>
        <w:t>目  录</w:t>
      </w:r>
      <w:bookmarkEnd w:id="0"/>
    </w:p>
    <w:p w14:paraId="2C7EC82E"/>
    <w:p w14:paraId="062E4894">
      <w:pPr>
        <w:pStyle w:val="12"/>
        <w:spacing w:before="156"/>
        <w:rPr>
          <w:rFonts w:asciiTheme="minorHAnsi" w:hAnsiTheme="minorHAnsi" w:eastAsiaTheme="minorEastAsia" w:cstheme="minorBidi"/>
          <w:color w:val="auto"/>
          <w:kern w:val="2"/>
          <w:sz w:val="22"/>
          <w14:ligatures w14:val="standardContextual"/>
        </w:rPr>
      </w:pPr>
      <w:r>
        <w:rPr>
          <w:rStyle w:val="19"/>
        </w:rPr>
        <w:fldChar w:fldCharType="begin"/>
      </w:r>
      <w:r>
        <w:rPr>
          <w:rStyle w:val="19"/>
        </w:rPr>
        <w:instrText xml:space="preserve"> </w:instrText>
      </w:r>
      <w:r>
        <w:rPr>
          <w:rStyle w:val="19"/>
          <w:rFonts w:hint="eastAsia"/>
        </w:rPr>
        <w:instrText xml:space="preserve">TOC \o "1-1" \h \z \u</w:instrText>
      </w:r>
      <w:r>
        <w:rPr>
          <w:rStyle w:val="19"/>
        </w:rPr>
        <w:instrText xml:space="preserve"> </w:instrText>
      </w:r>
      <w:r>
        <w:rPr>
          <w:rStyle w:val="19"/>
        </w:rPr>
        <w:fldChar w:fldCharType="separate"/>
      </w:r>
      <w:r>
        <w:fldChar w:fldCharType="begin"/>
      </w:r>
      <w:r>
        <w:instrText xml:space="preserve"> HYPERLINK \l "_Toc205985401" </w:instrText>
      </w:r>
      <w:r>
        <w:fldChar w:fldCharType="separate"/>
      </w:r>
      <w:r>
        <w:rPr>
          <w:rStyle w:val="19"/>
          <w:rFonts w:hint="eastAsia"/>
        </w:rPr>
        <w:t>一、工作简况</w:t>
      </w:r>
      <w:r>
        <w:rPr>
          <w:rFonts w:hint="eastAsia"/>
        </w:rPr>
        <w:tab/>
      </w:r>
      <w:r>
        <w:rPr>
          <w:rFonts w:hint="eastAsia"/>
        </w:rPr>
        <w:fldChar w:fldCharType="begin"/>
      </w:r>
      <w:r>
        <w:rPr>
          <w:rFonts w:hint="eastAsia"/>
        </w:rPr>
        <w:instrText xml:space="preserve"> </w:instrText>
      </w:r>
      <w:r>
        <w:instrText xml:space="preserve">PAGEREF _Toc205985401 \h</w:instrText>
      </w:r>
      <w:r>
        <w:rPr>
          <w:rFonts w:hint="eastAsia"/>
        </w:rPr>
        <w:instrText xml:space="preserve"> </w:instrText>
      </w:r>
      <w:r>
        <w:rPr>
          <w:rFonts w:hint="eastAsia"/>
        </w:rPr>
        <w:fldChar w:fldCharType="separate"/>
      </w:r>
      <w:r>
        <w:rPr>
          <w:rFonts w:hint="eastAsia"/>
        </w:rPr>
        <w:t>1</w:t>
      </w:r>
      <w:r>
        <w:rPr>
          <w:rFonts w:hint="eastAsia"/>
        </w:rPr>
        <w:fldChar w:fldCharType="end"/>
      </w:r>
      <w:r>
        <w:rPr>
          <w:rFonts w:hint="eastAsia"/>
        </w:rPr>
        <w:fldChar w:fldCharType="end"/>
      </w:r>
    </w:p>
    <w:p w14:paraId="38A318D4">
      <w:pPr>
        <w:pStyle w:val="12"/>
        <w:spacing w:before="156"/>
        <w:rPr>
          <w:rFonts w:asciiTheme="minorHAnsi" w:hAnsiTheme="minorHAnsi" w:eastAsiaTheme="minorEastAsia" w:cstheme="minorBidi"/>
          <w:color w:val="auto"/>
          <w:kern w:val="2"/>
          <w:sz w:val="22"/>
          <w14:ligatures w14:val="standardContextual"/>
        </w:rPr>
      </w:pPr>
      <w:r>
        <w:fldChar w:fldCharType="begin"/>
      </w:r>
      <w:r>
        <w:instrText xml:space="preserve"> HYPERLINK \l "_Toc205985402" </w:instrText>
      </w:r>
      <w:r>
        <w:fldChar w:fldCharType="separate"/>
      </w:r>
      <w:r>
        <w:rPr>
          <w:rStyle w:val="19"/>
          <w:rFonts w:hint="eastAsia"/>
        </w:rPr>
        <w:t>二、标准编制原则和确定标准主要内容的依据</w:t>
      </w:r>
      <w:r>
        <w:rPr>
          <w:rFonts w:hint="eastAsia"/>
        </w:rPr>
        <w:tab/>
      </w:r>
      <w:r>
        <w:rPr>
          <w:rFonts w:hint="eastAsia"/>
        </w:rPr>
        <w:fldChar w:fldCharType="begin"/>
      </w:r>
      <w:r>
        <w:rPr>
          <w:rFonts w:hint="eastAsia"/>
        </w:rPr>
        <w:instrText xml:space="preserve"> </w:instrText>
      </w:r>
      <w:r>
        <w:instrText xml:space="preserve">PAGEREF _Toc205985402 \h</w:instrText>
      </w:r>
      <w:r>
        <w:rPr>
          <w:rFonts w:hint="eastAsia"/>
        </w:rPr>
        <w:instrText xml:space="preserve"> </w:instrText>
      </w:r>
      <w:r>
        <w:rPr>
          <w:rFonts w:hint="eastAsia"/>
        </w:rPr>
        <w:fldChar w:fldCharType="separate"/>
      </w:r>
      <w:r>
        <w:rPr>
          <w:rFonts w:hint="eastAsia"/>
        </w:rPr>
        <w:t>3</w:t>
      </w:r>
      <w:r>
        <w:rPr>
          <w:rFonts w:hint="eastAsia"/>
        </w:rPr>
        <w:fldChar w:fldCharType="end"/>
      </w:r>
      <w:r>
        <w:rPr>
          <w:rFonts w:hint="eastAsia"/>
        </w:rPr>
        <w:fldChar w:fldCharType="end"/>
      </w:r>
    </w:p>
    <w:p w14:paraId="63FC464B">
      <w:pPr>
        <w:pStyle w:val="12"/>
        <w:spacing w:before="156"/>
        <w:rPr>
          <w:rFonts w:asciiTheme="minorHAnsi" w:hAnsiTheme="minorHAnsi" w:eastAsiaTheme="minorEastAsia" w:cstheme="minorBidi"/>
          <w:color w:val="auto"/>
          <w:kern w:val="2"/>
          <w:sz w:val="22"/>
          <w14:ligatures w14:val="standardContextual"/>
        </w:rPr>
      </w:pPr>
      <w:r>
        <w:fldChar w:fldCharType="begin"/>
      </w:r>
      <w:r>
        <w:instrText xml:space="preserve"> HYPERLINK \l "_Toc205985403" </w:instrText>
      </w:r>
      <w:r>
        <w:fldChar w:fldCharType="separate"/>
      </w:r>
      <w:r>
        <w:rPr>
          <w:rStyle w:val="19"/>
          <w:rFonts w:hint="eastAsia"/>
        </w:rPr>
        <w:t>三、主要试验的分析综述报告、技术经济论证或预期的经济效果</w:t>
      </w:r>
      <w:r>
        <w:rPr>
          <w:rFonts w:hint="eastAsia"/>
        </w:rPr>
        <w:tab/>
      </w:r>
      <w:r>
        <w:rPr>
          <w:rFonts w:hint="eastAsia"/>
        </w:rPr>
        <w:fldChar w:fldCharType="begin"/>
      </w:r>
      <w:r>
        <w:rPr>
          <w:rFonts w:hint="eastAsia"/>
        </w:rPr>
        <w:instrText xml:space="preserve"> </w:instrText>
      </w:r>
      <w:r>
        <w:instrText xml:space="preserve">PAGEREF _Toc205985403 \h</w:instrText>
      </w:r>
      <w:r>
        <w:rPr>
          <w:rFonts w:hint="eastAsia"/>
        </w:rPr>
        <w:instrText xml:space="preserve"> </w:instrText>
      </w:r>
      <w:r>
        <w:rPr>
          <w:rFonts w:hint="eastAsia"/>
        </w:rPr>
        <w:fldChar w:fldCharType="separate"/>
      </w:r>
      <w:r>
        <w:rPr>
          <w:rFonts w:hint="eastAsia"/>
        </w:rPr>
        <w:t>25</w:t>
      </w:r>
      <w:r>
        <w:rPr>
          <w:rFonts w:hint="eastAsia"/>
        </w:rPr>
        <w:fldChar w:fldCharType="end"/>
      </w:r>
      <w:r>
        <w:rPr>
          <w:rFonts w:hint="eastAsia"/>
        </w:rPr>
        <w:fldChar w:fldCharType="end"/>
      </w:r>
    </w:p>
    <w:p w14:paraId="60219DCF">
      <w:pPr>
        <w:pStyle w:val="12"/>
        <w:spacing w:before="156"/>
        <w:rPr>
          <w:rFonts w:asciiTheme="minorHAnsi" w:hAnsiTheme="minorHAnsi" w:eastAsiaTheme="minorEastAsia" w:cstheme="minorBidi"/>
          <w:color w:val="auto"/>
          <w:kern w:val="2"/>
          <w:sz w:val="22"/>
          <w14:ligatures w14:val="standardContextual"/>
        </w:rPr>
      </w:pPr>
      <w:r>
        <w:fldChar w:fldCharType="begin"/>
      </w:r>
      <w:r>
        <w:instrText xml:space="preserve"> HYPERLINK \l "_Toc205985404" </w:instrText>
      </w:r>
      <w:r>
        <w:fldChar w:fldCharType="separate"/>
      </w:r>
      <w:r>
        <w:rPr>
          <w:rStyle w:val="19"/>
          <w:rFonts w:hint="eastAsia"/>
        </w:rPr>
        <w:t>四、采用国际标准和国外先进标准的程度</w:t>
      </w:r>
      <w:r>
        <w:rPr>
          <w:rFonts w:hint="eastAsia"/>
        </w:rPr>
        <w:tab/>
      </w:r>
      <w:r>
        <w:rPr>
          <w:rFonts w:hint="eastAsia"/>
        </w:rPr>
        <w:fldChar w:fldCharType="begin"/>
      </w:r>
      <w:r>
        <w:rPr>
          <w:rFonts w:hint="eastAsia"/>
        </w:rPr>
        <w:instrText xml:space="preserve"> </w:instrText>
      </w:r>
      <w:r>
        <w:instrText xml:space="preserve">PAGEREF _Toc205985404 \h</w:instrText>
      </w:r>
      <w:r>
        <w:rPr>
          <w:rFonts w:hint="eastAsia"/>
        </w:rPr>
        <w:instrText xml:space="preserve"> </w:instrText>
      </w:r>
      <w:r>
        <w:rPr>
          <w:rFonts w:hint="eastAsia"/>
        </w:rPr>
        <w:fldChar w:fldCharType="separate"/>
      </w:r>
      <w:r>
        <w:rPr>
          <w:rFonts w:hint="eastAsia"/>
        </w:rPr>
        <w:t>29</w:t>
      </w:r>
      <w:r>
        <w:rPr>
          <w:rFonts w:hint="eastAsia"/>
        </w:rPr>
        <w:fldChar w:fldCharType="end"/>
      </w:r>
      <w:r>
        <w:rPr>
          <w:rFonts w:hint="eastAsia"/>
        </w:rPr>
        <w:fldChar w:fldCharType="end"/>
      </w:r>
    </w:p>
    <w:p w14:paraId="04B003FE">
      <w:pPr>
        <w:pStyle w:val="12"/>
        <w:spacing w:before="156"/>
        <w:rPr>
          <w:rFonts w:asciiTheme="minorHAnsi" w:hAnsiTheme="minorHAnsi" w:eastAsiaTheme="minorEastAsia" w:cstheme="minorBidi"/>
          <w:color w:val="auto"/>
          <w:kern w:val="2"/>
          <w:sz w:val="22"/>
          <w14:ligatures w14:val="standardContextual"/>
        </w:rPr>
      </w:pPr>
      <w:r>
        <w:fldChar w:fldCharType="begin"/>
      </w:r>
      <w:r>
        <w:instrText xml:space="preserve"> HYPERLINK \l "_Toc205985405" </w:instrText>
      </w:r>
      <w:r>
        <w:fldChar w:fldCharType="separate"/>
      </w:r>
      <w:r>
        <w:rPr>
          <w:rStyle w:val="19"/>
          <w:rFonts w:hint="eastAsia"/>
        </w:rPr>
        <w:t>五、与有关的现行法律、法规和强制性国家标准的关系</w:t>
      </w:r>
      <w:r>
        <w:rPr>
          <w:rFonts w:hint="eastAsia"/>
        </w:rPr>
        <w:tab/>
      </w:r>
      <w:r>
        <w:rPr>
          <w:rFonts w:hint="eastAsia"/>
        </w:rPr>
        <w:fldChar w:fldCharType="begin"/>
      </w:r>
      <w:r>
        <w:rPr>
          <w:rFonts w:hint="eastAsia"/>
        </w:rPr>
        <w:instrText xml:space="preserve"> </w:instrText>
      </w:r>
      <w:r>
        <w:instrText xml:space="preserve">PAGEREF _Toc205985405 \h</w:instrText>
      </w:r>
      <w:r>
        <w:rPr>
          <w:rFonts w:hint="eastAsia"/>
        </w:rPr>
        <w:instrText xml:space="preserve"> </w:instrText>
      </w:r>
      <w:r>
        <w:rPr>
          <w:rFonts w:hint="eastAsia"/>
        </w:rPr>
        <w:fldChar w:fldCharType="separate"/>
      </w:r>
      <w:r>
        <w:rPr>
          <w:rFonts w:hint="eastAsia"/>
        </w:rPr>
        <w:t>29</w:t>
      </w:r>
      <w:r>
        <w:rPr>
          <w:rFonts w:hint="eastAsia"/>
        </w:rPr>
        <w:fldChar w:fldCharType="end"/>
      </w:r>
      <w:r>
        <w:rPr>
          <w:rFonts w:hint="eastAsia"/>
        </w:rPr>
        <w:fldChar w:fldCharType="end"/>
      </w:r>
    </w:p>
    <w:p w14:paraId="6F95C910">
      <w:pPr>
        <w:pStyle w:val="12"/>
        <w:spacing w:before="156"/>
        <w:rPr>
          <w:rFonts w:asciiTheme="minorHAnsi" w:hAnsiTheme="minorHAnsi" w:eastAsiaTheme="minorEastAsia" w:cstheme="minorBidi"/>
          <w:color w:val="auto"/>
          <w:kern w:val="2"/>
          <w:sz w:val="22"/>
          <w14:ligatures w14:val="standardContextual"/>
        </w:rPr>
      </w:pPr>
      <w:r>
        <w:fldChar w:fldCharType="begin"/>
      </w:r>
      <w:r>
        <w:instrText xml:space="preserve"> HYPERLINK \l "_Toc205985406" </w:instrText>
      </w:r>
      <w:r>
        <w:fldChar w:fldCharType="separate"/>
      </w:r>
      <w:r>
        <w:rPr>
          <w:rStyle w:val="19"/>
          <w:rFonts w:hint="eastAsia"/>
        </w:rPr>
        <w:t>六、重大分歧意见的处理经过和依据</w:t>
      </w:r>
      <w:r>
        <w:rPr>
          <w:rFonts w:hint="eastAsia"/>
        </w:rPr>
        <w:tab/>
      </w:r>
      <w:r>
        <w:rPr>
          <w:rFonts w:hint="eastAsia"/>
        </w:rPr>
        <w:fldChar w:fldCharType="begin"/>
      </w:r>
      <w:r>
        <w:rPr>
          <w:rFonts w:hint="eastAsia"/>
        </w:rPr>
        <w:instrText xml:space="preserve"> </w:instrText>
      </w:r>
      <w:r>
        <w:instrText xml:space="preserve">PAGEREF _Toc205985406 \h</w:instrText>
      </w:r>
      <w:r>
        <w:rPr>
          <w:rFonts w:hint="eastAsia"/>
        </w:rPr>
        <w:instrText xml:space="preserve"> </w:instrText>
      </w:r>
      <w:r>
        <w:rPr>
          <w:rFonts w:hint="eastAsia"/>
        </w:rPr>
        <w:fldChar w:fldCharType="separate"/>
      </w:r>
      <w:r>
        <w:rPr>
          <w:rFonts w:hint="eastAsia"/>
        </w:rPr>
        <w:t>30</w:t>
      </w:r>
      <w:r>
        <w:rPr>
          <w:rFonts w:hint="eastAsia"/>
        </w:rPr>
        <w:fldChar w:fldCharType="end"/>
      </w:r>
      <w:r>
        <w:rPr>
          <w:rFonts w:hint="eastAsia"/>
        </w:rPr>
        <w:fldChar w:fldCharType="end"/>
      </w:r>
    </w:p>
    <w:p w14:paraId="604F67F1">
      <w:pPr>
        <w:pStyle w:val="12"/>
        <w:spacing w:before="156"/>
        <w:rPr>
          <w:rFonts w:asciiTheme="minorHAnsi" w:hAnsiTheme="minorHAnsi" w:eastAsiaTheme="minorEastAsia" w:cstheme="minorBidi"/>
          <w:color w:val="auto"/>
          <w:kern w:val="2"/>
          <w:sz w:val="22"/>
          <w14:ligatures w14:val="standardContextual"/>
        </w:rPr>
      </w:pPr>
      <w:r>
        <w:fldChar w:fldCharType="begin"/>
      </w:r>
      <w:r>
        <w:instrText xml:space="preserve"> HYPERLINK \l "_Toc205985407" </w:instrText>
      </w:r>
      <w:r>
        <w:fldChar w:fldCharType="separate"/>
      </w:r>
      <w:r>
        <w:rPr>
          <w:rStyle w:val="19"/>
          <w:rFonts w:hint="eastAsia"/>
        </w:rPr>
        <w:t>七、 贯彻标准的要求和措施建议</w:t>
      </w:r>
      <w:r>
        <w:rPr>
          <w:rFonts w:hint="eastAsia"/>
        </w:rPr>
        <w:tab/>
      </w:r>
      <w:r>
        <w:rPr>
          <w:rFonts w:hint="eastAsia"/>
        </w:rPr>
        <w:fldChar w:fldCharType="begin"/>
      </w:r>
      <w:r>
        <w:rPr>
          <w:rFonts w:hint="eastAsia"/>
        </w:rPr>
        <w:instrText xml:space="preserve"> </w:instrText>
      </w:r>
      <w:r>
        <w:instrText xml:space="preserve">PAGEREF _Toc205985407 \h</w:instrText>
      </w:r>
      <w:r>
        <w:rPr>
          <w:rFonts w:hint="eastAsia"/>
        </w:rPr>
        <w:instrText xml:space="preserve"> </w:instrText>
      </w:r>
      <w:r>
        <w:rPr>
          <w:rFonts w:hint="eastAsia"/>
        </w:rPr>
        <w:fldChar w:fldCharType="separate"/>
      </w:r>
      <w:r>
        <w:rPr>
          <w:rFonts w:hint="eastAsia"/>
        </w:rPr>
        <w:t>30</w:t>
      </w:r>
      <w:r>
        <w:rPr>
          <w:rFonts w:hint="eastAsia"/>
        </w:rPr>
        <w:fldChar w:fldCharType="end"/>
      </w:r>
      <w:r>
        <w:rPr>
          <w:rFonts w:hint="eastAsia"/>
        </w:rPr>
        <w:fldChar w:fldCharType="end"/>
      </w:r>
    </w:p>
    <w:p w14:paraId="61536F93">
      <w:pPr>
        <w:pStyle w:val="12"/>
        <w:spacing w:before="156"/>
        <w:rPr>
          <w:rFonts w:asciiTheme="minorHAnsi" w:hAnsiTheme="minorHAnsi" w:eastAsiaTheme="minorEastAsia" w:cstheme="minorBidi"/>
          <w:color w:val="auto"/>
          <w:kern w:val="2"/>
          <w:sz w:val="22"/>
          <w14:ligatures w14:val="standardContextual"/>
        </w:rPr>
      </w:pPr>
      <w:r>
        <w:fldChar w:fldCharType="begin"/>
      </w:r>
      <w:r>
        <w:instrText xml:space="preserve"> HYPERLINK \l "_Toc205985408" </w:instrText>
      </w:r>
      <w:r>
        <w:fldChar w:fldCharType="separate"/>
      </w:r>
      <w:r>
        <w:rPr>
          <w:rStyle w:val="19"/>
          <w:rFonts w:hint="eastAsia"/>
        </w:rPr>
        <w:t>八、废止现行有关标准的建议</w:t>
      </w:r>
      <w:r>
        <w:rPr>
          <w:rFonts w:hint="eastAsia"/>
        </w:rPr>
        <w:tab/>
      </w:r>
      <w:r>
        <w:rPr>
          <w:rFonts w:hint="eastAsia"/>
        </w:rPr>
        <w:fldChar w:fldCharType="begin"/>
      </w:r>
      <w:r>
        <w:rPr>
          <w:rFonts w:hint="eastAsia"/>
        </w:rPr>
        <w:instrText xml:space="preserve"> </w:instrText>
      </w:r>
      <w:r>
        <w:instrText xml:space="preserve">PAGEREF _Toc205985408 \h</w:instrText>
      </w:r>
      <w:r>
        <w:rPr>
          <w:rFonts w:hint="eastAsia"/>
        </w:rPr>
        <w:instrText xml:space="preserve"> </w:instrText>
      </w:r>
      <w:r>
        <w:rPr>
          <w:rFonts w:hint="eastAsia"/>
        </w:rPr>
        <w:fldChar w:fldCharType="separate"/>
      </w:r>
      <w:r>
        <w:rPr>
          <w:rFonts w:hint="eastAsia"/>
        </w:rPr>
        <w:t>30</w:t>
      </w:r>
      <w:r>
        <w:rPr>
          <w:rFonts w:hint="eastAsia"/>
        </w:rPr>
        <w:fldChar w:fldCharType="end"/>
      </w:r>
      <w:r>
        <w:rPr>
          <w:rFonts w:hint="eastAsia"/>
        </w:rPr>
        <w:fldChar w:fldCharType="end"/>
      </w:r>
    </w:p>
    <w:p w14:paraId="58EC513D">
      <w:pPr>
        <w:pStyle w:val="12"/>
        <w:spacing w:before="156"/>
        <w:rPr>
          <w:rFonts w:asciiTheme="minorHAnsi" w:hAnsiTheme="minorHAnsi" w:eastAsiaTheme="minorEastAsia" w:cstheme="minorBidi"/>
          <w:color w:val="auto"/>
          <w:kern w:val="2"/>
          <w:sz w:val="22"/>
          <w14:ligatures w14:val="standardContextual"/>
        </w:rPr>
      </w:pPr>
      <w:r>
        <w:fldChar w:fldCharType="begin"/>
      </w:r>
      <w:r>
        <w:instrText xml:space="preserve"> HYPERLINK \l "_Toc205985409" </w:instrText>
      </w:r>
      <w:r>
        <w:fldChar w:fldCharType="separate"/>
      </w:r>
      <w:r>
        <w:rPr>
          <w:rStyle w:val="19"/>
          <w:rFonts w:hint="eastAsia"/>
        </w:rPr>
        <w:t>九、其他应予说明的事项</w:t>
      </w:r>
      <w:r>
        <w:rPr>
          <w:rFonts w:hint="eastAsia"/>
        </w:rPr>
        <w:tab/>
      </w:r>
      <w:r>
        <w:rPr>
          <w:rFonts w:hint="eastAsia"/>
        </w:rPr>
        <w:fldChar w:fldCharType="begin"/>
      </w:r>
      <w:r>
        <w:rPr>
          <w:rFonts w:hint="eastAsia"/>
        </w:rPr>
        <w:instrText xml:space="preserve"> </w:instrText>
      </w:r>
      <w:r>
        <w:instrText xml:space="preserve">PAGEREF _Toc205985409 \h</w:instrText>
      </w:r>
      <w:r>
        <w:rPr>
          <w:rFonts w:hint="eastAsia"/>
        </w:rPr>
        <w:instrText xml:space="preserve"> </w:instrText>
      </w:r>
      <w:r>
        <w:rPr>
          <w:rFonts w:hint="eastAsia"/>
        </w:rPr>
        <w:fldChar w:fldCharType="separate"/>
      </w:r>
      <w:r>
        <w:rPr>
          <w:rFonts w:hint="eastAsia"/>
        </w:rPr>
        <w:t>30</w:t>
      </w:r>
      <w:r>
        <w:rPr>
          <w:rFonts w:hint="eastAsia"/>
        </w:rPr>
        <w:fldChar w:fldCharType="end"/>
      </w:r>
      <w:r>
        <w:rPr>
          <w:rFonts w:hint="eastAsia"/>
        </w:rPr>
        <w:fldChar w:fldCharType="end"/>
      </w:r>
    </w:p>
    <w:p w14:paraId="0E923B1E">
      <w:pPr>
        <w:pStyle w:val="12"/>
        <w:spacing w:before="156"/>
        <w:rPr>
          <w:rFonts w:hint="eastAsia"/>
        </w:rPr>
      </w:pPr>
      <w:r>
        <w:fldChar w:fldCharType="end"/>
      </w:r>
    </w:p>
    <w:p w14:paraId="1AF2A439"/>
    <w:p w14:paraId="6992ECA1"/>
    <w:p w14:paraId="448CD918"/>
    <w:p w14:paraId="6A714A2E"/>
    <w:p w14:paraId="1737A619"/>
    <w:p w14:paraId="4CEBC953">
      <w:pPr>
        <w:widowControl/>
        <w:jc w:val="left"/>
        <w:rPr>
          <w:rFonts w:ascii="Cambria" w:hAnsi="Cambria"/>
          <w:b/>
          <w:bCs/>
          <w:sz w:val="32"/>
          <w:szCs w:val="32"/>
        </w:rPr>
      </w:pPr>
      <w:bookmarkStart w:id="1" w:name="_Toc486254127"/>
      <w:r>
        <w:rPr>
          <w:rFonts w:ascii="Cambria" w:hAnsi="Cambria"/>
          <w:b/>
          <w:bCs/>
          <w:sz w:val="32"/>
          <w:szCs w:val="32"/>
        </w:rPr>
        <w:br w:type="page"/>
      </w:r>
    </w:p>
    <w:p w14:paraId="0C97507E">
      <w:pPr>
        <w:spacing w:line="360" w:lineRule="auto"/>
        <w:jc w:val="center"/>
        <w:rPr>
          <w:rFonts w:ascii="Cambria" w:hAnsi="Cambria"/>
          <w:b/>
          <w:bCs/>
          <w:sz w:val="32"/>
          <w:szCs w:val="32"/>
        </w:rPr>
        <w:sectPr>
          <w:footerReference r:id="rId5" w:type="first"/>
          <w:pgSz w:w="11906" w:h="16838"/>
          <w:pgMar w:top="1588" w:right="1814" w:bottom="1588" w:left="1814" w:header="851" w:footer="992" w:gutter="0"/>
          <w:pgNumType w:fmt="numberInDash" w:start="0"/>
          <w:cols w:space="425" w:num="1"/>
          <w:titlePg/>
          <w:docGrid w:type="lines" w:linePitch="312" w:charSpace="0"/>
        </w:sectPr>
      </w:pPr>
    </w:p>
    <w:bookmarkEnd w:id="1"/>
    <w:p w14:paraId="23F7B55C">
      <w:pPr>
        <w:pStyle w:val="2"/>
        <w:spacing w:before="0" w:after="0" w:line="360" w:lineRule="auto"/>
        <w:ind w:firstLine="480" w:firstLineChars="200"/>
        <w:rPr>
          <w:rFonts w:hint="eastAsia" w:ascii="宋体" w:hAnsi="宋体"/>
          <w:sz w:val="24"/>
          <w:szCs w:val="24"/>
        </w:rPr>
      </w:pPr>
      <w:bookmarkStart w:id="2" w:name="_Toc205985401"/>
      <w:r>
        <w:rPr>
          <w:rFonts w:hint="eastAsia" w:ascii="宋体" w:hAnsi="宋体"/>
          <w:sz w:val="24"/>
          <w:szCs w:val="24"/>
        </w:rPr>
        <w:t>一、工作简况</w:t>
      </w:r>
      <w:bookmarkEnd w:id="2"/>
    </w:p>
    <w:p w14:paraId="70F55E1D">
      <w:pPr>
        <w:spacing w:line="360" w:lineRule="auto"/>
        <w:ind w:firstLine="480" w:firstLineChars="200"/>
        <w:rPr>
          <w:rFonts w:hint="eastAsia" w:ascii="宋体" w:hAnsi="宋体"/>
          <w:b/>
          <w:sz w:val="24"/>
        </w:rPr>
      </w:pPr>
      <w:r>
        <w:rPr>
          <w:rFonts w:hint="eastAsia" w:ascii="宋体" w:hAnsi="宋体"/>
          <w:b/>
          <w:sz w:val="24"/>
        </w:rPr>
        <w:t>（一）任务来源</w:t>
      </w:r>
    </w:p>
    <w:p w14:paraId="10287A9F">
      <w:pPr>
        <w:spacing w:line="360" w:lineRule="auto"/>
        <w:ind w:firstLine="480" w:firstLineChars="200"/>
        <w:rPr>
          <w:rFonts w:hint="eastAsia" w:ascii="宋体" w:hAnsi="宋体"/>
          <w:sz w:val="24"/>
        </w:rPr>
      </w:pPr>
      <w:r>
        <w:rPr>
          <w:rFonts w:hint="eastAsia" w:ascii="宋体" w:hAnsi="宋体"/>
          <w:sz w:val="24"/>
        </w:rPr>
        <w:t>智慧港口的建设浪潮，对港口设备管理的能效提出了前所未有的高要求。在传统管理模式下，持续降低设备运维成本、提高应急响应能力等关键环节正面临着严峻的考验，亟需创新与突破。基于人工智能技术地港口自动化设备智能管理系统在设备故障预测、知识管理、智能决策等领域展现出巨大潜力，可更好地解决港口设备运维应急响应能力不足、故障诊断智能化水平不高等问题。为规范港口自动化设备智能管理系统相关功能和技术要求，2024年12月31日《中国港口协会关于下达&lt;2024年度中国港口协会团体标准化计划(第二批)&gt;的通知》（中港协行函【2024】52号）中，下达了《港口工程设备智能化管理系统技术要求》团体标准制定计划，计划编号：2024-30。</w:t>
      </w:r>
    </w:p>
    <w:p w14:paraId="7BF4D171">
      <w:pPr>
        <w:spacing w:line="360" w:lineRule="auto"/>
        <w:ind w:firstLine="480" w:firstLineChars="200"/>
        <w:rPr>
          <w:rFonts w:hint="eastAsia" w:ascii="宋体" w:hAnsi="宋体"/>
          <w:b/>
          <w:sz w:val="24"/>
          <w:highlight w:val="none"/>
        </w:rPr>
      </w:pPr>
      <w:r>
        <w:rPr>
          <w:rFonts w:hint="eastAsia" w:ascii="宋体" w:hAnsi="宋体"/>
          <w:b/>
          <w:sz w:val="24"/>
          <w:highlight w:val="none"/>
        </w:rPr>
        <w:t>（二）起草单位</w:t>
      </w:r>
    </w:p>
    <w:p w14:paraId="7A13D847">
      <w:pPr>
        <w:pStyle w:val="44"/>
        <w:spacing w:line="360" w:lineRule="auto"/>
        <w:ind w:firstLine="480"/>
        <w:jc w:val="left"/>
        <w:rPr>
          <w:rFonts w:hint="eastAsia" w:hAnsi="宋体"/>
          <w:kern w:val="2"/>
          <w:sz w:val="24"/>
          <w:szCs w:val="24"/>
        </w:rPr>
      </w:pPr>
      <w:r>
        <w:rPr>
          <w:rFonts w:hint="eastAsia" w:hAnsi="宋体"/>
          <w:kern w:val="2"/>
          <w:sz w:val="24"/>
          <w:szCs w:val="24"/>
        </w:rPr>
        <w:t>标准起草单位：招商局港口集团股份有限公司、中国交通通信信息中心、辽宁港口集团有限公司、浙江省海港投资运营集团有限公司、招商局国际科技有限公司、招商港航数字科技(辽宁)有限公司、招商局金融科技有限公司、交通运输部水运科学研究所。</w:t>
      </w:r>
    </w:p>
    <w:p w14:paraId="665D224A">
      <w:pPr>
        <w:spacing w:line="360" w:lineRule="auto"/>
        <w:ind w:firstLine="480" w:firstLineChars="200"/>
        <w:jc w:val="left"/>
        <w:rPr>
          <w:rFonts w:hint="eastAsia" w:ascii="宋体" w:hAnsi="宋体"/>
          <w:b/>
          <w:sz w:val="24"/>
        </w:rPr>
      </w:pPr>
      <w:r>
        <w:rPr>
          <w:rFonts w:hint="eastAsia" w:ascii="宋体" w:hAnsi="宋体"/>
          <w:b/>
          <w:sz w:val="24"/>
        </w:rPr>
        <w:t>（三）主要工作过程</w:t>
      </w:r>
    </w:p>
    <w:p w14:paraId="1DF94C86">
      <w:pPr>
        <w:spacing w:line="360" w:lineRule="auto"/>
        <w:ind w:firstLine="480" w:firstLineChars="200"/>
        <w:jc w:val="left"/>
        <w:rPr>
          <w:rFonts w:hint="eastAsia" w:ascii="宋体" w:hAnsi="宋体"/>
          <w:sz w:val="24"/>
        </w:rPr>
      </w:pPr>
      <w:r>
        <w:rPr>
          <w:rFonts w:hint="eastAsia" w:ascii="宋体" w:hAnsi="宋体"/>
          <w:sz w:val="24"/>
        </w:rPr>
        <w:t>标准主编单位招商局港口集团股份有限公司接到计划任务后，立即成立标准起草组，着手进行标准制定工作，主要工作过程如下：</w:t>
      </w:r>
    </w:p>
    <w:p w14:paraId="7FF969C5">
      <w:pPr>
        <w:tabs>
          <w:tab w:val="left" w:pos="3220"/>
        </w:tabs>
        <w:spacing w:line="360" w:lineRule="auto"/>
        <w:ind w:firstLine="480" w:firstLineChars="200"/>
        <w:rPr>
          <w:rFonts w:hint="eastAsia" w:ascii="宋体" w:hAnsi="宋体"/>
          <w:sz w:val="24"/>
        </w:rPr>
      </w:pPr>
      <w:r>
        <w:rPr>
          <w:rFonts w:hint="eastAsia" w:ascii="宋体" w:hAnsi="宋体"/>
          <w:sz w:val="24"/>
        </w:rPr>
        <w:t>2025年1月，标准起草组按照要求，制定了标准编制计划。</w:t>
      </w:r>
    </w:p>
    <w:p w14:paraId="1E5BBA82">
      <w:pPr>
        <w:tabs>
          <w:tab w:val="left" w:pos="3220"/>
        </w:tabs>
        <w:spacing w:line="360" w:lineRule="auto"/>
        <w:ind w:firstLine="480" w:firstLineChars="200"/>
        <w:rPr>
          <w:rFonts w:hint="eastAsia" w:ascii="宋体" w:hAnsi="宋体"/>
          <w:sz w:val="24"/>
        </w:rPr>
      </w:pPr>
      <w:r>
        <w:rPr>
          <w:rFonts w:hint="eastAsia" w:ascii="宋体" w:hAnsi="宋体"/>
          <w:sz w:val="24"/>
        </w:rPr>
        <w:t>2025年2</w:t>
      </w:r>
      <w:bookmarkStart w:id="3" w:name="OLE_LINK2"/>
      <w:r>
        <w:rPr>
          <w:rFonts w:hint="eastAsia" w:ascii="宋体" w:hAnsi="宋体"/>
          <w:sz w:val="24"/>
        </w:rPr>
        <w:t>～</w:t>
      </w:r>
      <w:bookmarkEnd w:id="3"/>
      <w:r>
        <w:rPr>
          <w:rFonts w:hint="eastAsia" w:ascii="宋体" w:hAnsi="宋体"/>
          <w:sz w:val="24"/>
        </w:rPr>
        <w:t>3月，标准起草组开展了国内外有关标准以及港口自动化设备智能管理系统相关技术要求的调研工作。</w:t>
      </w:r>
    </w:p>
    <w:p w14:paraId="400EBE28">
      <w:pPr>
        <w:tabs>
          <w:tab w:val="left" w:pos="3220"/>
        </w:tabs>
        <w:spacing w:line="360" w:lineRule="auto"/>
        <w:ind w:firstLine="480" w:firstLineChars="200"/>
        <w:rPr>
          <w:rFonts w:hint="eastAsia" w:ascii="宋体" w:hAnsi="宋体"/>
          <w:sz w:val="24"/>
        </w:rPr>
      </w:pPr>
      <w:r>
        <w:rPr>
          <w:rFonts w:hint="eastAsia" w:ascii="宋体" w:hAnsi="宋体"/>
          <w:sz w:val="24"/>
        </w:rPr>
        <w:t>2025年4月，标准起草组对标准资料进行了收集、整理及分析，收集了国内外相关的政策法规、标准及有关的技术资料，并进行了系统研究，完成了《港口自动化设备智能管理系统技术要求》项目工作大纲。起草组向行业内相关权威部门进行了咨询和征求意见，结合行业内专家的建议，完成了标准草案。</w:t>
      </w:r>
    </w:p>
    <w:p w14:paraId="10A1CF76">
      <w:pPr>
        <w:tabs>
          <w:tab w:val="left" w:pos="3220"/>
        </w:tabs>
        <w:spacing w:line="360" w:lineRule="auto"/>
        <w:ind w:firstLine="480" w:firstLineChars="200"/>
        <w:rPr>
          <w:rFonts w:hint="eastAsia" w:ascii="宋体" w:hAnsi="宋体"/>
          <w:sz w:val="24"/>
        </w:rPr>
      </w:pPr>
      <w:r>
        <w:rPr>
          <w:rFonts w:hint="eastAsia" w:ascii="宋体" w:hAnsi="宋体"/>
          <w:sz w:val="24"/>
        </w:rPr>
        <w:t>2025年5月，中国港口协会召开《港口自动化设备智能管理系统技术要求》工作大纲评审会。</w:t>
      </w:r>
    </w:p>
    <w:p w14:paraId="2AA0ADEC">
      <w:pPr>
        <w:tabs>
          <w:tab w:val="left" w:pos="3220"/>
        </w:tabs>
        <w:spacing w:line="360" w:lineRule="auto"/>
        <w:ind w:firstLine="480" w:firstLineChars="200"/>
        <w:rPr>
          <w:rFonts w:hint="eastAsia" w:ascii="宋体" w:hAnsi="宋体"/>
          <w:sz w:val="24"/>
        </w:rPr>
      </w:pPr>
      <w:r>
        <w:rPr>
          <w:rFonts w:hint="eastAsia" w:ascii="宋体" w:hAnsi="宋体"/>
          <w:sz w:val="24"/>
        </w:rPr>
        <w:t>2025年5月～7月，标准起草组根据《港口自动化设备智能管理系统技术要求》工作大纲评审会意见，修改标准草案形成征求意见稿。</w:t>
      </w:r>
    </w:p>
    <w:p w14:paraId="713CF838">
      <w:pPr>
        <w:tabs>
          <w:tab w:val="left" w:pos="3220"/>
        </w:tabs>
        <w:spacing w:line="360" w:lineRule="auto"/>
        <w:ind w:firstLine="480" w:firstLineChars="200"/>
        <w:rPr>
          <w:rFonts w:hint="eastAsia" w:ascii="宋体" w:hAnsi="宋体"/>
          <w:sz w:val="24"/>
        </w:rPr>
      </w:pPr>
      <w:r>
        <w:rPr>
          <w:rFonts w:hint="eastAsia" w:ascii="宋体" w:hAnsi="宋体"/>
          <w:sz w:val="24"/>
        </w:rPr>
        <w:t>2025年8月，标准起草组向中国港口协会提交《港口自动化设备智能管理系统技术要求》标准征求意见稿和编制说明，申请挂网征求意见。</w:t>
      </w:r>
    </w:p>
    <w:p w14:paraId="4B0B731B">
      <w:pPr>
        <w:spacing w:line="360" w:lineRule="auto"/>
        <w:ind w:firstLine="480" w:firstLineChars="200"/>
        <w:rPr>
          <w:rFonts w:hint="eastAsia" w:ascii="宋体" w:hAnsi="宋体"/>
          <w:b/>
          <w:sz w:val="24"/>
        </w:rPr>
      </w:pPr>
      <w:r>
        <w:rPr>
          <w:rFonts w:hint="eastAsia" w:ascii="宋体" w:hAnsi="宋体"/>
          <w:b/>
          <w:sz w:val="24"/>
        </w:rPr>
        <w:t>（四）</w:t>
      </w:r>
      <w:r>
        <w:rPr>
          <w:rFonts w:ascii="宋体" w:hAnsi="宋体"/>
          <w:b/>
          <w:sz w:val="24"/>
        </w:rPr>
        <w:t>主要起草人及其所做的工作</w:t>
      </w:r>
    </w:p>
    <w:p w14:paraId="114BA8E8">
      <w:pPr>
        <w:tabs>
          <w:tab w:val="left" w:pos="3220"/>
        </w:tabs>
        <w:spacing w:line="360" w:lineRule="auto"/>
        <w:ind w:firstLine="480" w:firstLineChars="200"/>
        <w:rPr>
          <w:rFonts w:hint="eastAsia" w:ascii="宋体" w:hAnsi="宋体"/>
          <w:sz w:val="24"/>
        </w:rPr>
      </w:pPr>
      <w:r>
        <w:rPr>
          <w:rFonts w:hint="eastAsia" w:ascii="宋体" w:hAnsi="宋体"/>
          <w:sz w:val="24"/>
          <w:highlight w:val="none"/>
        </w:rPr>
        <w:t>本标准主要起草人</w:t>
      </w:r>
      <w:r>
        <w:rPr>
          <w:rFonts w:hint="eastAsia" w:ascii="宋体" w:hAnsi="宋体"/>
          <w:sz w:val="24"/>
        </w:rPr>
        <w:t>承担的主要工作如表1所示。</w:t>
      </w:r>
    </w:p>
    <w:p w14:paraId="1E9B7472">
      <w:pPr>
        <w:tabs>
          <w:tab w:val="left" w:pos="3220"/>
        </w:tabs>
        <w:spacing w:line="360" w:lineRule="auto"/>
        <w:ind w:firstLine="480" w:firstLineChars="200"/>
        <w:jc w:val="center"/>
        <w:rPr>
          <w:rFonts w:hint="eastAsia" w:ascii="黑体" w:hAnsi="黑体" w:eastAsia="黑体"/>
          <w:sz w:val="24"/>
          <w:szCs w:val="28"/>
          <w:highlight w:val="none"/>
        </w:rPr>
      </w:pPr>
      <w:r>
        <w:rPr>
          <w:rFonts w:hint="eastAsia" w:ascii="黑体" w:hAnsi="黑体" w:eastAsia="黑体"/>
          <w:sz w:val="24"/>
          <w:szCs w:val="28"/>
          <w:highlight w:val="none"/>
        </w:rPr>
        <w:t>表1 主要起草人所承担的工作</w:t>
      </w:r>
    </w:p>
    <w:tbl>
      <w:tblPr>
        <w:tblStyle w:val="15"/>
        <w:tblW w:w="8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993"/>
        <w:gridCol w:w="3118"/>
        <w:gridCol w:w="3737"/>
      </w:tblGrid>
      <w:tr w14:paraId="48AE3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blHeader/>
        </w:trPr>
        <w:tc>
          <w:tcPr>
            <w:tcW w:w="675" w:type="dxa"/>
            <w:vAlign w:val="center"/>
          </w:tcPr>
          <w:p w14:paraId="4CCEFAAD">
            <w:pPr>
              <w:tabs>
                <w:tab w:val="left" w:pos="3220"/>
              </w:tabs>
              <w:spacing w:line="360" w:lineRule="exact"/>
              <w:jc w:val="center"/>
              <w:rPr>
                <w:rFonts w:hint="eastAsia" w:ascii="宋体" w:hAnsi="宋体"/>
                <w:szCs w:val="21"/>
              </w:rPr>
            </w:pPr>
            <w:r>
              <w:rPr>
                <w:rFonts w:hint="eastAsia" w:ascii="宋体" w:hAnsi="宋体"/>
                <w:szCs w:val="21"/>
              </w:rPr>
              <w:t>序号</w:t>
            </w:r>
          </w:p>
        </w:tc>
        <w:tc>
          <w:tcPr>
            <w:tcW w:w="993" w:type="dxa"/>
            <w:vAlign w:val="center"/>
          </w:tcPr>
          <w:p w14:paraId="3B73A0B4">
            <w:pPr>
              <w:tabs>
                <w:tab w:val="left" w:pos="3220"/>
              </w:tabs>
              <w:spacing w:line="360" w:lineRule="exact"/>
              <w:jc w:val="center"/>
              <w:rPr>
                <w:rFonts w:hint="eastAsia" w:ascii="宋体" w:hAnsi="宋体"/>
                <w:szCs w:val="21"/>
              </w:rPr>
            </w:pPr>
            <w:r>
              <w:rPr>
                <w:rFonts w:hint="eastAsia" w:ascii="宋体" w:hAnsi="宋体"/>
                <w:szCs w:val="21"/>
              </w:rPr>
              <w:t>姓名</w:t>
            </w:r>
          </w:p>
        </w:tc>
        <w:tc>
          <w:tcPr>
            <w:tcW w:w="3118" w:type="dxa"/>
            <w:vAlign w:val="center"/>
          </w:tcPr>
          <w:p w14:paraId="5DE8FBC5">
            <w:pPr>
              <w:tabs>
                <w:tab w:val="left" w:pos="3220"/>
              </w:tabs>
              <w:spacing w:line="360" w:lineRule="exact"/>
              <w:jc w:val="center"/>
              <w:rPr>
                <w:rFonts w:hint="eastAsia" w:ascii="宋体" w:hAnsi="宋体"/>
                <w:szCs w:val="21"/>
              </w:rPr>
            </w:pPr>
            <w:r>
              <w:rPr>
                <w:rFonts w:hint="eastAsia" w:ascii="宋体" w:hAnsi="宋体"/>
                <w:szCs w:val="21"/>
              </w:rPr>
              <w:t>单位</w:t>
            </w:r>
          </w:p>
        </w:tc>
        <w:tc>
          <w:tcPr>
            <w:tcW w:w="3737" w:type="dxa"/>
            <w:vAlign w:val="center"/>
          </w:tcPr>
          <w:p w14:paraId="4E0FA15D">
            <w:pPr>
              <w:tabs>
                <w:tab w:val="left" w:pos="3220"/>
              </w:tabs>
              <w:spacing w:before="180" w:after="180" w:line="360" w:lineRule="exact"/>
              <w:jc w:val="center"/>
              <w:rPr>
                <w:rFonts w:hint="eastAsia" w:ascii="宋体" w:hAnsi="宋体"/>
                <w:szCs w:val="21"/>
              </w:rPr>
            </w:pPr>
            <w:r>
              <w:rPr>
                <w:rFonts w:hint="eastAsia" w:ascii="宋体" w:hAnsi="宋体"/>
                <w:szCs w:val="21"/>
              </w:rPr>
              <w:t>承担</w:t>
            </w:r>
            <w:commentRangeStart w:id="0"/>
            <w:r>
              <w:rPr>
                <w:rFonts w:hint="eastAsia" w:ascii="宋体" w:hAnsi="宋体"/>
                <w:szCs w:val="21"/>
              </w:rPr>
              <w:t>工作</w:t>
            </w:r>
            <w:commentRangeEnd w:id="0"/>
            <w:r>
              <w:rPr>
                <w:rStyle w:val="20"/>
              </w:rPr>
              <w:commentReference w:id="0"/>
            </w:r>
          </w:p>
        </w:tc>
      </w:tr>
      <w:tr w14:paraId="6E965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675" w:type="dxa"/>
            <w:vAlign w:val="center"/>
          </w:tcPr>
          <w:p w14:paraId="5F5CCADE">
            <w:pPr>
              <w:tabs>
                <w:tab w:val="left" w:pos="3220"/>
              </w:tabs>
              <w:spacing w:before="180" w:after="180" w:line="360" w:lineRule="exact"/>
              <w:jc w:val="center"/>
              <w:rPr>
                <w:rFonts w:hint="eastAsia" w:ascii="宋体" w:hAnsi="宋体"/>
                <w:szCs w:val="21"/>
              </w:rPr>
            </w:pPr>
            <w:r>
              <w:rPr>
                <w:rFonts w:hint="eastAsia" w:ascii="宋体" w:hAnsi="宋体"/>
                <w:szCs w:val="21"/>
              </w:rPr>
              <w:t>1</w:t>
            </w:r>
          </w:p>
        </w:tc>
        <w:tc>
          <w:tcPr>
            <w:tcW w:w="993" w:type="dxa"/>
            <w:vAlign w:val="center"/>
          </w:tcPr>
          <w:p w14:paraId="05DF86EF">
            <w:pPr>
              <w:tabs>
                <w:tab w:val="left" w:pos="3220"/>
              </w:tabs>
              <w:spacing w:before="180" w:after="180" w:line="360" w:lineRule="exact"/>
              <w:jc w:val="center"/>
              <w:rPr>
                <w:rFonts w:hint="eastAsia" w:ascii="宋体" w:hAnsi="宋体"/>
                <w:szCs w:val="21"/>
              </w:rPr>
            </w:pPr>
            <w:r>
              <w:rPr>
                <w:rFonts w:hint="eastAsia" w:ascii="宋体" w:hAnsi="宋体"/>
                <w:szCs w:val="21"/>
              </w:rPr>
              <w:t>佘振武</w:t>
            </w:r>
          </w:p>
        </w:tc>
        <w:tc>
          <w:tcPr>
            <w:tcW w:w="3118" w:type="dxa"/>
            <w:vAlign w:val="center"/>
          </w:tcPr>
          <w:p w14:paraId="6B4841F5">
            <w:pPr>
              <w:tabs>
                <w:tab w:val="left" w:pos="3220"/>
              </w:tabs>
              <w:spacing w:before="180" w:after="180" w:line="360" w:lineRule="exact"/>
              <w:rPr>
                <w:rFonts w:hint="eastAsia" w:ascii="宋体" w:hAnsi="宋体"/>
                <w:szCs w:val="21"/>
              </w:rPr>
            </w:pPr>
            <w:r>
              <w:rPr>
                <w:rFonts w:hint="eastAsia" w:ascii="宋体" w:hAnsi="宋体"/>
                <w:szCs w:val="21"/>
              </w:rPr>
              <w:t>招商局港口集团股份有限公司</w:t>
            </w:r>
          </w:p>
        </w:tc>
        <w:tc>
          <w:tcPr>
            <w:tcW w:w="3737" w:type="dxa"/>
            <w:vAlign w:val="center"/>
          </w:tcPr>
          <w:p w14:paraId="4E174A9D">
            <w:pPr>
              <w:tabs>
                <w:tab w:val="left" w:pos="3220"/>
              </w:tabs>
              <w:spacing w:before="0" w:after="0" w:line="240" w:lineRule="auto"/>
              <w:jc w:val="left"/>
              <w:rPr>
                <w:rFonts w:hint="eastAsia" w:ascii="宋体" w:hAnsi="宋体"/>
                <w:szCs w:val="21"/>
              </w:rPr>
            </w:pPr>
            <w:r>
              <w:rPr>
                <w:rFonts w:hint="eastAsia" w:ascii="宋体" w:hAnsi="宋体"/>
                <w:szCs w:val="21"/>
              </w:rPr>
              <w:t>统筹标准编制工作，标准工作大纲制定，标准文稿全部编写及修改工作</w:t>
            </w:r>
          </w:p>
        </w:tc>
      </w:tr>
      <w:tr w14:paraId="00AD2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18A9B95B">
            <w:pPr>
              <w:tabs>
                <w:tab w:val="left" w:pos="3220"/>
              </w:tabs>
              <w:spacing w:before="180" w:after="180" w:line="360" w:lineRule="exact"/>
              <w:jc w:val="center"/>
              <w:rPr>
                <w:rFonts w:hint="eastAsia" w:ascii="宋体" w:hAnsi="宋体"/>
                <w:szCs w:val="21"/>
              </w:rPr>
            </w:pPr>
            <w:r>
              <w:rPr>
                <w:rFonts w:hint="eastAsia" w:ascii="宋体" w:hAnsi="宋体"/>
                <w:szCs w:val="21"/>
              </w:rPr>
              <w:t>2</w:t>
            </w:r>
          </w:p>
        </w:tc>
        <w:tc>
          <w:tcPr>
            <w:tcW w:w="993" w:type="dxa"/>
            <w:vAlign w:val="center"/>
          </w:tcPr>
          <w:p w14:paraId="423898B9">
            <w:pPr>
              <w:tabs>
                <w:tab w:val="left" w:pos="3220"/>
              </w:tabs>
              <w:spacing w:before="180" w:after="180" w:line="360" w:lineRule="exact"/>
              <w:jc w:val="center"/>
              <w:rPr>
                <w:rFonts w:hint="eastAsia" w:ascii="宋体" w:hAnsi="宋体"/>
                <w:szCs w:val="21"/>
              </w:rPr>
            </w:pPr>
            <w:r>
              <w:rPr>
                <w:rFonts w:hint="eastAsia" w:ascii="宋体" w:hAnsi="宋体"/>
                <w:szCs w:val="21"/>
              </w:rPr>
              <w:t>陈辉</w:t>
            </w:r>
          </w:p>
        </w:tc>
        <w:tc>
          <w:tcPr>
            <w:tcW w:w="3118" w:type="dxa"/>
            <w:vAlign w:val="center"/>
          </w:tcPr>
          <w:p w14:paraId="1047C1AF">
            <w:pPr>
              <w:tabs>
                <w:tab w:val="left" w:pos="3220"/>
              </w:tabs>
              <w:spacing w:before="180" w:after="180" w:line="360" w:lineRule="exact"/>
              <w:jc w:val="left"/>
              <w:rPr>
                <w:rFonts w:hint="eastAsia" w:ascii="宋体" w:hAnsi="宋体"/>
                <w:szCs w:val="21"/>
              </w:rPr>
            </w:pPr>
            <w:r>
              <w:rPr>
                <w:rFonts w:hint="eastAsia" w:ascii="宋体" w:hAnsi="宋体"/>
                <w:szCs w:val="21"/>
              </w:rPr>
              <w:t>招商局港口集团股份有限公司</w:t>
            </w:r>
          </w:p>
        </w:tc>
        <w:tc>
          <w:tcPr>
            <w:tcW w:w="3737" w:type="dxa"/>
            <w:vAlign w:val="center"/>
          </w:tcPr>
          <w:p w14:paraId="2BDE0D33">
            <w:pPr>
              <w:tabs>
                <w:tab w:val="left" w:pos="3220"/>
              </w:tabs>
              <w:spacing w:before="0" w:after="0" w:line="240" w:lineRule="auto"/>
              <w:jc w:val="left"/>
              <w:rPr>
                <w:rFonts w:hint="eastAsia" w:ascii="宋体" w:hAnsi="宋体"/>
                <w:szCs w:val="21"/>
              </w:rPr>
            </w:pPr>
            <w:r>
              <w:rPr>
                <w:rFonts w:hint="eastAsia" w:ascii="宋体" w:hAnsi="宋体"/>
                <w:szCs w:val="21"/>
              </w:rPr>
              <w:t>参与标准文稿全部编写及修改工作，主要参与4、5、6、7、8、9章内容编写和技术条款审核</w:t>
            </w:r>
          </w:p>
        </w:tc>
      </w:tr>
      <w:tr w14:paraId="420D9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675" w:type="dxa"/>
            <w:vAlign w:val="center"/>
          </w:tcPr>
          <w:p w14:paraId="0CD6697E">
            <w:pPr>
              <w:tabs>
                <w:tab w:val="left" w:pos="3220"/>
              </w:tabs>
              <w:spacing w:before="180" w:after="180" w:line="360" w:lineRule="exact"/>
              <w:jc w:val="center"/>
              <w:rPr>
                <w:rFonts w:hint="eastAsia" w:ascii="宋体" w:hAnsi="宋体"/>
                <w:szCs w:val="21"/>
              </w:rPr>
            </w:pPr>
            <w:r>
              <w:rPr>
                <w:rFonts w:hint="eastAsia" w:ascii="宋体" w:hAnsi="宋体"/>
                <w:szCs w:val="21"/>
              </w:rPr>
              <w:t>3</w:t>
            </w:r>
          </w:p>
        </w:tc>
        <w:tc>
          <w:tcPr>
            <w:tcW w:w="993" w:type="dxa"/>
            <w:vAlign w:val="center"/>
          </w:tcPr>
          <w:p w14:paraId="1899BE60">
            <w:pPr>
              <w:tabs>
                <w:tab w:val="left" w:pos="3220"/>
              </w:tabs>
              <w:spacing w:before="180" w:after="180" w:line="360" w:lineRule="exact"/>
              <w:jc w:val="center"/>
              <w:rPr>
                <w:rFonts w:hint="eastAsia" w:ascii="宋体" w:hAnsi="宋体"/>
                <w:szCs w:val="21"/>
              </w:rPr>
            </w:pPr>
            <w:r>
              <w:rPr>
                <w:rFonts w:hint="eastAsia" w:ascii="宋体" w:hAnsi="宋体"/>
                <w:szCs w:val="21"/>
              </w:rPr>
              <w:t>万小明</w:t>
            </w:r>
          </w:p>
        </w:tc>
        <w:tc>
          <w:tcPr>
            <w:tcW w:w="3118" w:type="dxa"/>
            <w:vAlign w:val="center"/>
          </w:tcPr>
          <w:p w14:paraId="5D291F4F">
            <w:pPr>
              <w:tabs>
                <w:tab w:val="left" w:pos="3220"/>
              </w:tabs>
              <w:spacing w:before="180" w:after="180" w:line="360" w:lineRule="exact"/>
              <w:jc w:val="left"/>
              <w:rPr>
                <w:rFonts w:hint="eastAsia" w:ascii="宋体" w:hAnsi="宋体"/>
                <w:szCs w:val="21"/>
              </w:rPr>
            </w:pPr>
            <w:r>
              <w:rPr>
                <w:rFonts w:hint="eastAsia" w:ascii="宋体" w:hAnsi="宋体"/>
                <w:szCs w:val="21"/>
              </w:rPr>
              <w:t>招商局港口集团股份有限公司</w:t>
            </w:r>
          </w:p>
        </w:tc>
        <w:tc>
          <w:tcPr>
            <w:tcW w:w="3737" w:type="dxa"/>
            <w:vAlign w:val="center"/>
          </w:tcPr>
          <w:p w14:paraId="0DA30543">
            <w:pPr>
              <w:tabs>
                <w:tab w:val="left" w:pos="3220"/>
              </w:tabs>
              <w:spacing w:before="0" w:after="0" w:line="240" w:lineRule="auto"/>
              <w:jc w:val="left"/>
              <w:rPr>
                <w:rFonts w:hint="eastAsia" w:ascii="宋体" w:hAnsi="宋体"/>
                <w:szCs w:val="21"/>
              </w:rPr>
            </w:pPr>
            <w:r>
              <w:rPr>
                <w:rFonts w:hint="eastAsia" w:ascii="宋体" w:hAnsi="宋体"/>
                <w:szCs w:val="21"/>
              </w:rPr>
              <w:t>参与标准文稿全部编写及修改工作，主要参与4、5、6、7章内容编写和技术条款审核</w:t>
            </w:r>
          </w:p>
        </w:tc>
      </w:tr>
      <w:tr w14:paraId="75C75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675" w:type="dxa"/>
            <w:vAlign w:val="center"/>
          </w:tcPr>
          <w:p w14:paraId="1E94096F">
            <w:pPr>
              <w:tabs>
                <w:tab w:val="left" w:pos="3220"/>
              </w:tabs>
              <w:spacing w:before="180" w:after="180" w:line="360" w:lineRule="exact"/>
              <w:jc w:val="center"/>
              <w:rPr>
                <w:rFonts w:hint="eastAsia" w:ascii="宋体" w:hAnsi="宋体"/>
                <w:szCs w:val="21"/>
              </w:rPr>
            </w:pPr>
            <w:r>
              <w:rPr>
                <w:rFonts w:hint="eastAsia" w:ascii="宋体" w:hAnsi="宋体"/>
                <w:szCs w:val="21"/>
              </w:rPr>
              <w:t>4</w:t>
            </w:r>
          </w:p>
        </w:tc>
        <w:tc>
          <w:tcPr>
            <w:tcW w:w="993" w:type="dxa"/>
            <w:vAlign w:val="center"/>
          </w:tcPr>
          <w:p w14:paraId="303AB04E">
            <w:pPr>
              <w:tabs>
                <w:tab w:val="left" w:pos="3220"/>
              </w:tabs>
              <w:spacing w:before="180" w:after="180" w:line="360" w:lineRule="exact"/>
              <w:jc w:val="center"/>
              <w:rPr>
                <w:rFonts w:hint="eastAsia" w:ascii="宋体" w:hAnsi="宋体"/>
                <w:szCs w:val="21"/>
              </w:rPr>
            </w:pPr>
            <w:r>
              <w:rPr>
                <w:rFonts w:hint="eastAsia" w:ascii="宋体" w:hAnsi="宋体"/>
                <w:szCs w:val="21"/>
              </w:rPr>
              <w:t>胡伟</w:t>
            </w:r>
          </w:p>
        </w:tc>
        <w:tc>
          <w:tcPr>
            <w:tcW w:w="3118" w:type="dxa"/>
            <w:vAlign w:val="center"/>
          </w:tcPr>
          <w:p w14:paraId="568A7707">
            <w:pPr>
              <w:tabs>
                <w:tab w:val="left" w:pos="3220"/>
              </w:tabs>
              <w:spacing w:before="180" w:after="180" w:line="360" w:lineRule="exact"/>
              <w:jc w:val="left"/>
              <w:rPr>
                <w:rFonts w:hint="eastAsia" w:ascii="宋体" w:hAnsi="宋体"/>
                <w:szCs w:val="21"/>
              </w:rPr>
            </w:pPr>
            <w:r>
              <w:rPr>
                <w:rFonts w:hint="eastAsia" w:ascii="宋体" w:hAnsi="宋体"/>
                <w:szCs w:val="21"/>
              </w:rPr>
              <w:t>招商局港口集团股份有限公司</w:t>
            </w:r>
          </w:p>
        </w:tc>
        <w:tc>
          <w:tcPr>
            <w:tcW w:w="3737" w:type="dxa"/>
            <w:vAlign w:val="center"/>
          </w:tcPr>
          <w:p w14:paraId="19052774">
            <w:pPr>
              <w:tabs>
                <w:tab w:val="left" w:pos="3220"/>
              </w:tabs>
              <w:spacing w:before="0" w:after="0" w:line="240" w:lineRule="auto"/>
              <w:jc w:val="left"/>
              <w:rPr>
                <w:rFonts w:hint="eastAsia" w:ascii="宋体" w:hAnsi="宋体"/>
                <w:szCs w:val="21"/>
              </w:rPr>
            </w:pPr>
            <w:r>
              <w:rPr>
                <w:rFonts w:hint="eastAsia" w:ascii="宋体" w:hAnsi="宋体"/>
                <w:szCs w:val="21"/>
              </w:rPr>
              <w:t>参与标准文稿全部编写及修改工作，主要参与7、8、9章内容编写和技术条款审核</w:t>
            </w:r>
          </w:p>
        </w:tc>
      </w:tr>
      <w:tr w14:paraId="1ECFA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675" w:type="dxa"/>
            <w:vAlign w:val="center"/>
          </w:tcPr>
          <w:p w14:paraId="7AE69DF6">
            <w:pPr>
              <w:tabs>
                <w:tab w:val="left" w:pos="3220"/>
              </w:tabs>
              <w:spacing w:before="180" w:after="180" w:line="360" w:lineRule="exact"/>
              <w:jc w:val="center"/>
              <w:rPr>
                <w:rFonts w:hint="eastAsia" w:ascii="宋体" w:hAnsi="宋体"/>
                <w:szCs w:val="21"/>
              </w:rPr>
            </w:pPr>
            <w:r>
              <w:rPr>
                <w:rFonts w:hint="eastAsia" w:ascii="宋体" w:hAnsi="宋体"/>
                <w:szCs w:val="21"/>
              </w:rPr>
              <w:t>5</w:t>
            </w:r>
          </w:p>
        </w:tc>
        <w:tc>
          <w:tcPr>
            <w:tcW w:w="993" w:type="dxa"/>
            <w:vAlign w:val="center"/>
          </w:tcPr>
          <w:p w14:paraId="7C46D316">
            <w:pPr>
              <w:tabs>
                <w:tab w:val="left" w:pos="3220"/>
              </w:tabs>
              <w:spacing w:before="180" w:after="180" w:line="360" w:lineRule="exact"/>
              <w:jc w:val="center"/>
              <w:rPr>
                <w:rFonts w:hint="eastAsia" w:ascii="宋体" w:hAnsi="宋体"/>
                <w:szCs w:val="21"/>
              </w:rPr>
            </w:pPr>
            <w:r>
              <w:rPr>
                <w:rFonts w:hint="eastAsia" w:ascii="宋体" w:hAnsi="宋体"/>
                <w:szCs w:val="21"/>
              </w:rPr>
              <w:t>王大成</w:t>
            </w:r>
          </w:p>
        </w:tc>
        <w:tc>
          <w:tcPr>
            <w:tcW w:w="3118" w:type="dxa"/>
            <w:vAlign w:val="center"/>
          </w:tcPr>
          <w:p w14:paraId="441CE269">
            <w:pPr>
              <w:tabs>
                <w:tab w:val="left" w:pos="3220"/>
              </w:tabs>
              <w:spacing w:before="180" w:after="180" w:line="360" w:lineRule="exact"/>
              <w:jc w:val="left"/>
              <w:rPr>
                <w:rFonts w:hint="eastAsia" w:ascii="宋体" w:hAnsi="宋体"/>
                <w:szCs w:val="21"/>
              </w:rPr>
            </w:pPr>
            <w:r>
              <w:rPr>
                <w:rFonts w:hint="eastAsia" w:ascii="宋体" w:hAnsi="宋体"/>
                <w:szCs w:val="21"/>
              </w:rPr>
              <w:t>中国交通通信信息中心</w:t>
            </w:r>
          </w:p>
        </w:tc>
        <w:tc>
          <w:tcPr>
            <w:tcW w:w="3737" w:type="dxa"/>
            <w:vAlign w:val="center"/>
          </w:tcPr>
          <w:p w14:paraId="2326B3E2">
            <w:pPr>
              <w:tabs>
                <w:tab w:val="left" w:pos="3220"/>
              </w:tabs>
              <w:spacing w:before="0" w:after="0" w:line="240" w:lineRule="auto"/>
              <w:jc w:val="left"/>
              <w:rPr>
                <w:rFonts w:hint="eastAsia" w:ascii="宋体" w:hAnsi="宋体"/>
                <w:szCs w:val="21"/>
              </w:rPr>
            </w:pPr>
            <w:r>
              <w:rPr>
                <w:rFonts w:hint="eastAsia" w:ascii="宋体" w:hAnsi="宋体"/>
                <w:szCs w:val="21"/>
              </w:rPr>
              <w:t>参与标准4、5、6章编写</w:t>
            </w:r>
          </w:p>
        </w:tc>
      </w:tr>
      <w:tr w14:paraId="47B9F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675" w:type="dxa"/>
            <w:vAlign w:val="center"/>
          </w:tcPr>
          <w:p w14:paraId="1E73480D">
            <w:pPr>
              <w:tabs>
                <w:tab w:val="left" w:pos="3220"/>
              </w:tabs>
              <w:spacing w:before="180" w:after="180" w:line="360" w:lineRule="exact"/>
              <w:jc w:val="center"/>
              <w:rPr>
                <w:rFonts w:hint="eastAsia" w:ascii="宋体" w:hAnsi="宋体"/>
                <w:szCs w:val="21"/>
              </w:rPr>
            </w:pPr>
            <w:r>
              <w:rPr>
                <w:rFonts w:hint="eastAsia" w:ascii="宋体" w:hAnsi="宋体"/>
                <w:szCs w:val="21"/>
              </w:rPr>
              <w:t>6</w:t>
            </w:r>
          </w:p>
        </w:tc>
        <w:tc>
          <w:tcPr>
            <w:tcW w:w="993" w:type="dxa"/>
            <w:vAlign w:val="center"/>
          </w:tcPr>
          <w:p w14:paraId="479FD611">
            <w:pPr>
              <w:tabs>
                <w:tab w:val="left" w:pos="3220"/>
              </w:tabs>
              <w:spacing w:before="180" w:after="180" w:line="360" w:lineRule="exact"/>
              <w:jc w:val="center"/>
              <w:rPr>
                <w:rFonts w:hint="eastAsia" w:ascii="宋体" w:hAnsi="宋体"/>
                <w:szCs w:val="21"/>
              </w:rPr>
            </w:pPr>
            <w:r>
              <w:rPr>
                <w:rFonts w:hint="eastAsia" w:ascii="宋体" w:hAnsi="宋体"/>
                <w:szCs w:val="21"/>
              </w:rPr>
              <w:t>梁华</w:t>
            </w:r>
          </w:p>
        </w:tc>
        <w:tc>
          <w:tcPr>
            <w:tcW w:w="3118" w:type="dxa"/>
            <w:vAlign w:val="center"/>
          </w:tcPr>
          <w:p w14:paraId="59E41E9E">
            <w:pPr>
              <w:tabs>
                <w:tab w:val="left" w:pos="3220"/>
              </w:tabs>
              <w:spacing w:before="180" w:after="180" w:line="360" w:lineRule="exact"/>
              <w:jc w:val="left"/>
              <w:rPr>
                <w:rFonts w:hint="eastAsia" w:ascii="宋体" w:hAnsi="宋体"/>
                <w:szCs w:val="21"/>
              </w:rPr>
            </w:pPr>
            <w:r>
              <w:rPr>
                <w:rFonts w:hint="eastAsia" w:ascii="宋体" w:hAnsi="宋体"/>
                <w:szCs w:val="21"/>
              </w:rPr>
              <w:t>中国交通通信信息中心</w:t>
            </w:r>
          </w:p>
        </w:tc>
        <w:tc>
          <w:tcPr>
            <w:tcW w:w="3737" w:type="dxa"/>
            <w:vAlign w:val="center"/>
          </w:tcPr>
          <w:p w14:paraId="1F778870">
            <w:pPr>
              <w:tabs>
                <w:tab w:val="left" w:pos="3220"/>
              </w:tabs>
              <w:spacing w:before="0" w:after="0" w:line="240" w:lineRule="auto"/>
              <w:jc w:val="left"/>
              <w:rPr>
                <w:rFonts w:hint="eastAsia" w:ascii="宋体" w:hAnsi="宋体"/>
                <w:szCs w:val="21"/>
              </w:rPr>
            </w:pPr>
            <w:r>
              <w:rPr>
                <w:rFonts w:hint="eastAsia" w:ascii="宋体" w:hAnsi="宋体"/>
                <w:szCs w:val="21"/>
              </w:rPr>
              <w:t>参与标准4、5、6章编写</w:t>
            </w:r>
          </w:p>
        </w:tc>
      </w:tr>
      <w:tr w14:paraId="2A5BB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675" w:type="dxa"/>
            <w:vAlign w:val="center"/>
          </w:tcPr>
          <w:p w14:paraId="459A8114">
            <w:pPr>
              <w:tabs>
                <w:tab w:val="left" w:pos="3220"/>
              </w:tabs>
              <w:spacing w:before="180" w:after="180" w:line="360" w:lineRule="exact"/>
              <w:jc w:val="center"/>
              <w:rPr>
                <w:rFonts w:hint="eastAsia" w:ascii="宋体" w:hAnsi="宋体"/>
                <w:szCs w:val="21"/>
              </w:rPr>
            </w:pPr>
            <w:r>
              <w:rPr>
                <w:rFonts w:hint="eastAsia" w:ascii="宋体" w:hAnsi="宋体"/>
                <w:szCs w:val="21"/>
              </w:rPr>
              <w:t>7</w:t>
            </w:r>
          </w:p>
        </w:tc>
        <w:tc>
          <w:tcPr>
            <w:tcW w:w="993" w:type="dxa"/>
            <w:vAlign w:val="center"/>
          </w:tcPr>
          <w:p w14:paraId="5356BF65">
            <w:pPr>
              <w:tabs>
                <w:tab w:val="left" w:pos="3220"/>
              </w:tabs>
              <w:spacing w:before="180" w:after="180" w:line="360" w:lineRule="exact"/>
              <w:jc w:val="center"/>
              <w:rPr>
                <w:rFonts w:hint="eastAsia" w:ascii="宋体" w:hAnsi="宋体"/>
                <w:szCs w:val="21"/>
              </w:rPr>
            </w:pPr>
            <w:r>
              <w:rPr>
                <w:rFonts w:hint="eastAsia" w:ascii="宋体" w:hAnsi="宋体"/>
                <w:szCs w:val="21"/>
              </w:rPr>
              <w:t>李继春</w:t>
            </w:r>
          </w:p>
        </w:tc>
        <w:tc>
          <w:tcPr>
            <w:tcW w:w="3118" w:type="dxa"/>
            <w:vAlign w:val="center"/>
          </w:tcPr>
          <w:p w14:paraId="41F96B72">
            <w:pPr>
              <w:tabs>
                <w:tab w:val="left" w:pos="3220"/>
              </w:tabs>
              <w:spacing w:before="180" w:after="180" w:line="360" w:lineRule="exact"/>
              <w:jc w:val="left"/>
              <w:rPr>
                <w:rFonts w:hint="eastAsia" w:ascii="宋体" w:hAnsi="宋体"/>
                <w:szCs w:val="21"/>
              </w:rPr>
            </w:pPr>
            <w:r>
              <w:rPr>
                <w:rFonts w:hint="eastAsia" w:ascii="宋体" w:hAnsi="宋体"/>
                <w:szCs w:val="21"/>
              </w:rPr>
              <w:t>交通运输部水运科学研究所</w:t>
            </w:r>
          </w:p>
        </w:tc>
        <w:tc>
          <w:tcPr>
            <w:tcW w:w="3737" w:type="dxa"/>
            <w:vAlign w:val="center"/>
          </w:tcPr>
          <w:p w14:paraId="189BC185">
            <w:pPr>
              <w:tabs>
                <w:tab w:val="left" w:pos="3220"/>
              </w:tabs>
              <w:spacing w:before="180" w:after="180" w:line="360" w:lineRule="exact"/>
              <w:jc w:val="left"/>
              <w:rPr>
                <w:rFonts w:hint="eastAsia" w:ascii="宋体" w:hAnsi="宋体"/>
                <w:szCs w:val="21"/>
              </w:rPr>
            </w:pPr>
            <w:r>
              <w:rPr>
                <w:rFonts w:hint="eastAsia" w:ascii="宋体" w:hAnsi="宋体"/>
                <w:szCs w:val="21"/>
              </w:rPr>
              <w:t>参与标准4、5、6章编写</w:t>
            </w:r>
          </w:p>
        </w:tc>
      </w:tr>
      <w:tr w14:paraId="629C6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675" w:type="dxa"/>
            <w:vAlign w:val="center"/>
          </w:tcPr>
          <w:p w14:paraId="1C2C2980">
            <w:pPr>
              <w:tabs>
                <w:tab w:val="left" w:pos="3220"/>
              </w:tabs>
              <w:spacing w:before="180" w:after="180" w:line="360" w:lineRule="exact"/>
              <w:jc w:val="center"/>
              <w:rPr>
                <w:rFonts w:hint="eastAsia" w:ascii="宋体" w:hAnsi="宋体"/>
                <w:szCs w:val="21"/>
              </w:rPr>
            </w:pPr>
            <w:r>
              <w:rPr>
                <w:rFonts w:hint="eastAsia" w:ascii="宋体" w:hAnsi="宋体"/>
                <w:szCs w:val="21"/>
              </w:rPr>
              <w:t>8</w:t>
            </w:r>
          </w:p>
        </w:tc>
        <w:tc>
          <w:tcPr>
            <w:tcW w:w="993" w:type="dxa"/>
            <w:vAlign w:val="center"/>
          </w:tcPr>
          <w:p w14:paraId="6540C866">
            <w:pPr>
              <w:tabs>
                <w:tab w:val="left" w:pos="3220"/>
              </w:tabs>
              <w:spacing w:before="180" w:after="180" w:line="360" w:lineRule="exact"/>
              <w:jc w:val="center"/>
              <w:rPr>
                <w:rFonts w:hint="eastAsia" w:ascii="宋体" w:hAnsi="宋体"/>
                <w:szCs w:val="21"/>
              </w:rPr>
            </w:pPr>
            <w:r>
              <w:rPr>
                <w:rFonts w:hint="eastAsia" w:ascii="宋体" w:hAnsi="宋体"/>
                <w:szCs w:val="21"/>
              </w:rPr>
              <w:t>杨惠云</w:t>
            </w:r>
          </w:p>
        </w:tc>
        <w:tc>
          <w:tcPr>
            <w:tcW w:w="3118" w:type="dxa"/>
          </w:tcPr>
          <w:p w14:paraId="0154D40A">
            <w:pPr>
              <w:tabs>
                <w:tab w:val="left" w:pos="3220"/>
              </w:tabs>
              <w:spacing w:before="180" w:after="180" w:line="360" w:lineRule="exact"/>
              <w:jc w:val="left"/>
              <w:rPr>
                <w:rFonts w:hint="eastAsia" w:ascii="宋体" w:hAnsi="宋体"/>
                <w:szCs w:val="21"/>
              </w:rPr>
            </w:pPr>
            <w:r>
              <w:rPr>
                <w:rFonts w:hint="eastAsia" w:ascii="宋体" w:hAnsi="宋体"/>
                <w:szCs w:val="21"/>
              </w:rPr>
              <w:t>辽宁港口集团有限公司</w:t>
            </w:r>
          </w:p>
        </w:tc>
        <w:tc>
          <w:tcPr>
            <w:tcW w:w="3737" w:type="dxa"/>
            <w:vAlign w:val="center"/>
          </w:tcPr>
          <w:p w14:paraId="2E573516">
            <w:pPr>
              <w:tabs>
                <w:tab w:val="left" w:pos="3220"/>
              </w:tabs>
              <w:spacing w:before="180" w:after="180" w:line="360" w:lineRule="exact"/>
              <w:jc w:val="left"/>
              <w:rPr>
                <w:rFonts w:hint="eastAsia" w:ascii="宋体" w:hAnsi="宋体"/>
                <w:szCs w:val="21"/>
              </w:rPr>
            </w:pPr>
            <w:r>
              <w:rPr>
                <w:rFonts w:hint="eastAsia" w:ascii="宋体" w:hAnsi="宋体"/>
                <w:szCs w:val="21"/>
              </w:rPr>
              <w:t>参与标准4、5、6章编写</w:t>
            </w:r>
          </w:p>
        </w:tc>
      </w:tr>
      <w:tr w14:paraId="3D44E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675" w:type="dxa"/>
            <w:vAlign w:val="center"/>
          </w:tcPr>
          <w:p w14:paraId="24755E50">
            <w:pPr>
              <w:tabs>
                <w:tab w:val="left" w:pos="3220"/>
              </w:tabs>
              <w:spacing w:before="180" w:after="180" w:line="360" w:lineRule="exact"/>
              <w:jc w:val="center"/>
              <w:rPr>
                <w:rFonts w:hint="eastAsia" w:ascii="宋体" w:hAnsi="宋体"/>
                <w:szCs w:val="21"/>
              </w:rPr>
            </w:pPr>
            <w:r>
              <w:rPr>
                <w:rFonts w:hint="eastAsia" w:ascii="宋体" w:hAnsi="宋体"/>
                <w:szCs w:val="21"/>
              </w:rPr>
              <w:t>9</w:t>
            </w:r>
          </w:p>
        </w:tc>
        <w:tc>
          <w:tcPr>
            <w:tcW w:w="993" w:type="dxa"/>
            <w:vAlign w:val="center"/>
          </w:tcPr>
          <w:p w14:paraId="45AFF5C9">
            <w:pPr>
              <w:tabs>
                <w:tab w:val="left" w:pos="3220"/>
              </w:tabs>
              <w:spacing w:before="180" w:after="180" w:line="360" w:lineRule="exact"/>
              <w:jc w:val="center"/>
              <w:rPr>
                <w:rFonts w:hint="eastAsia" w:ascii="宋体" w:hAnsi="宋体"/>
                <w:szCs w:val="21"/>
              </w:rPr>
            </w:pPr>
            <w:r>
              <w:rPr>
                <w:rFonts w:hint="eastAsia" w:ascii="宋体" w:hAnsi="宋体"/>
                <w:szCs w:val="21"/>
              </w:rPr>
              <w:t>任海东</w:t>
            </w:r>
          </w:p>
        </w:tc>
        <w:tc>
          <w:tcPr>
            <w:tcW w:w="3118" w:type="dxa"/>
            <w:vAlign w:val="center"/>
          </w:tcPr>
          <w:p w14:paraId="0A74E7E1">
            <w:pPr>
              <w:tabs>
                <w:tab w:val="left" w:pos="3220"/>
              </w:tabs>
              <w:spacing w:before="180" w:after="180" w:line="360" w:lineRule="exact"/>
              <w:jc w:val="left"/>
              <w:rPr>
                <w:rFonts w:hint="eastAsia" w:ascii="宋体" w:hAnsi="宋体"/>
                <w:szCs w:val="21"/>
              </w:rPr>
            </w:pPr>
            <w:r>
              <w:rPr>
                <w:rFonts w:hint="eastAsia" w:ascii="宋体" w:hAnsi="宋体"/>
                <w:szCs w:val="21"/>
              </w:rPr>
              <w:t>浙江省海港投资运营集团有限公司</w:t>
            </w:r>
          </w:p>
        </w:tc>
        <w:tc>
          <w:tcPr>
            <w:tcW w:w="3737" w:type="dxa"/>
            <w:vAlign w:val="center"/>
          </w:tcPr>
          <w:p w14:paraId="41F05DA2">
            <w:pPr>
              <w:tabs>
                <w:tab w:val="left" w:pos="3220"/>
              </w:tabs>
              <w:spacing w:before="180" w:after="180" w:line="360" w:lineRule="exact"/>
              <w:jc w:val="left"/>
              <w:rPr>
                <w:rFonts w:hint="eastAsia" w:ascii="宋体" w:hAnsi="宋体"/>
                <w:szCs w:val="21"/>
              </w:rPr>
            </w:pPr>
            <w:r>
              <w:rPr>
                <w:rFonts w:hint="eastAsia" w:ascii="宋体" w:hAnsi="宋体"/>
                <w:szCs w:val="21"/>
              </w:rPr>
              <w:t>参与标准4、5、6章编写</w:t>
            </w:r>
          </w:p>
        </w:tc>
      </w:tr>
      <w:tr w14:paraId="19F1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675" w:type="dxa"/>
            <w:vAlign w:val="center"/>
          </w:tcPr>
          <w:p w14:paraId="1672CC3C">
            <w:pPr>
              <w:tabs>
                <w:tab w:val="left" w:pos="3220"/>
              </w:tabs>
              <w:spacing w:before="180" w:after="180" w:line="360" w:lineRule="exact"/>
              <w:jc w:val="center"/>
              <w:rPr>
                <w:rFonts w:hint="eastAsia" w:ascii="宋体" w:hAnsi="宋体"/>
                <w:szCs w:val="21"/>
              </w:rPr>
            </w:pPr>
            <w:r>
              <w:rPr>
                <w:rFonts w:hint="eastAsia" w:ascii="宋体" w:hAnsi="宋体"/>
                <w:szCs w:val="21"/>
              </w:rPr>
              <w:t>10</w:t>
            </w:r>
          </w:p>
        </w:tc>
        <w:tc>
          <w:tcPr>
            <w:tcW w:w="993" w:type="dxa"/>
            <w:vAlign w:val="center"/>
          </w:tcPr>
          <w:p w14:paraId="4D11E6BF">
            <w:pPr>
              <w:tabs>
                <w:tab w:val="left" w:pos="3220"/>
              </w:tabs>
              <w:spacing w:before="180" w:after="180" w:line="360" w:lineRule="exact"/>
              <w:jc w:val="center"/>
              <w:rPr>
                <w:rFonts w:hint="eastAsia" w:ascii="宋体" w:hAnsi="宋体"/>
                <w:szCs w:val="21"/>
              </w:rPr>
            </w:pPr>
            <w:r>
              <w:rPr>
                <w:rFonts w:hint="eastAsia" w:ascii="宋体" w:hAnsi="宋体"/>
                <w:szCs w:val="21"/>
              </w:rPr>
              <w:t>杨玉林</w:t>
            </w:r>
          </w:p>
        </w:tc>
        <w:tc>
          <w:tcPr>
            <w:tcW w:w="3118" w:type="dxa"/>
          </w:tcPr>
          <w:p w14:paraId="42CE1C22">
            <w:pPr>
              <w:tabs>
                <w:tab w:val="left" w:pos="3220"/>
              </w:tabs>
              <w:spacing w:before="180" w:after="180" w:line="360" w:lineRule="exact"/>
              <w:jc w:val="left"/>
              <w:rPr>
                <w:rFonts w:hint="eastAsia" w:ascii="宋体" w:hAnsi="宋体" w:cs="宋体"/>
                <w:sz w:val="28"/>
                <w:szCs w:val="28"/>
              </w:rPr>
            </w:pPr>
            <w:r>
              <w:rPr>
                <w:rFonts w:hint="eastAsia" w:ascii="宋体" w:hAnsi="宋体"/>
                <w:szCs w:val="21"/>
              </w:rPr>
              <w:t>招商局国际科技有限公司</w:t>
            </w:r>
          </w:p>
        </w:tc>
        <w:tc>
          <w:tcPr>
            <w:tcW w:w="3737" w:type="dxa"/>
            <w:vAlign w:val="center"/>
          </w:tcPr>
          <w:p w14:paraId="781A09A8">
            <w:pPr>
              <w:tabs>
                <w:tab w:val="left" w:pos="3220"/>
              </w:tabs>
              <w:spacing w:before="0" w:after="0" w:line="240" w:lineRule="auto"/>
              <w:jc w:val="left"/>
              <w:rPr>
                <w:rFonts w:hint="eastAsia" w:ascii="宋体" w:hAnsi="宋体"/>
                <w:szCs w:val="21"/>
              </w:rPr>
            </w:pPr>
            <w:r>
              <w:rPr>
                <w:rFonts w:hint="eastAsia" w:ascii="宋体" w:hAnsi="宋体"/>
                <w:szCs w:val="21"/>
              </w:rPr>
              <w:t>参与标准文稿全部编写及修改工作，主要参与4、5、6、7、8、9章内容编写和技术条款审核</w:t>
            </w:r>
          </w:p>
        </w:tc>
      </w:tr>
      <w:tr w14:paraId="1E272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675" w:type="dxa"/>
            <w:vAlign w:val="center"/>
          </w:tcPr>
          <w:p w14:paraId="5ED2184E">
            <w:pPr>
              <w:tabs>
                <w:tab w:val="left" w:pos="3220"/>
              </w:tabs>
              <w:spacing w:before="180" w:after="180" w:line="360" w:lineRule="exact"/>
              <w:jc w:val="center"/>
              <w:rPr>
                <w:rFonts w:hint="eastAsia" w:ascii="宋体" w:hAnsi="宋体"/>
                <w:szCs w:val="21"/>
              </w:rPr>
            </w:pPr>
            <w:r>
              <w:rPr>
                <w:rFonts w:hint="eastAsia" w:ascii="宋体" w:hAnsi="宋体"/>
                <w:szCs w:val="21"/>
              </w:rPr>
              <w:t>11</w:t>
            </w:r>
          </w:p>
        </w:tc>
        <w:tc>
          <w:tcPr>
            <w:tcW w:w="993" w:type="dxa"/>
            <w:vAlign w:val="center"/>
          </w:tcPr>
          <w:p w14:paraId="3CFB4300">
            <w:pPr>
              <w:tabs>
                <w:tab w:val="left" w:pos="3220"/>
              </w:tabs>
              <w:spacing w:before="180" w:after="180" w:line="360" w:lineRule="exact"/>
              <w:jc w:val="center"/>
              <w:rPr>
                <w:rFonts w:hint="eastAsia" w:ascii="宋体" w:hAnsi="宋体"/>
                <w:szCs w:val="21"/>
              </w:rPr>
            </w:pPr>
            <w:r>
              <w:rPr>
                <w:rFonts w:hint="eastAsia" w:ascii="宋体" w:hAnsi="宋体"/>
                <w:szCs w:val="21"/>
              </w:rPr>
              <w:t>丁胜培</w:t>
            </w:r>
          </w:p>
        </w:tc>
        <w:tc>
          <w:tcPr>
            <w:tcW w:w="3118" w:type="dxa"/>
          </w:tcPr>
          <w:p w14:paraId="0E46289A">
            <w:pPr>
              <w:tabs>
                <w:tab w:val="left" w:pos="3220"/>
              </w:tabs>
              <w:spacing w:before="180" w:after="180" w:line="360" w:lineRule="exact"/>
              <w:jc w:val="left"/>
              <w:rPr>
                <w:rFonts w:hint="eastAsia" w:ascii="宋体" w:hAnsi="宋体"/>
                <w:szCs w:val="21"/>
              </w:rPr>
            </w:pPr>
            <w:r>
              <w:rPr>
                <w:rFonts w:hint="eastAsia" w:ascii="宋体" w:hAnsi="宋体"/>
                <w:szCs w:val="21"/>
              </w:rPr>
              <w:t>招商局国际科技有限公司</w:t>
            </w:r>
          </w:p>
        </w:tc>
        <w:tc>
          <w:tcPr>
            <w:tcW w:w="3737" w:type="dxa"/>
            <w:vAlign w:val="center"/>
          </w:tcPr>
          <w:p w14:paraId="34904801">
            <w:pPr>
              <w:tabs>
                <w:tab w:val="left" w:pos="3220"/>
              </w:tabs>
              <w:spacing w:before="180" w:after="180" w:line="360" w:lineRule="exact"/>
              <w:jc w:val="left"/>
              <w:rPr>
                <w:rFonts w:hint="eastAsia" w:ascii="宋体" w:hAnsi="宋体"/>
                <w:szCs w:val="21"/>
              </w:rPr>
            </w:pPr>
            <w:r>
              <w:rPr>
                <w:rFonts w:hint="eastAsia" w:ascii="宋体" w:hAnsi="宋体"/>
                <w:szCs w:val="21"/>
              </w:rPr>
              <w:t>参与标准4、5、6、7、8、9章编写</w:t>
            </w:r>
          </w:p>
        </w:tc>
      </w:tr>
      <w:tr w14:paraId="48883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675" w:type="dxa"/>
            <w:vAlign w:val="center"/>
          </w:tcPr>
          <w:p w14:paraId="5E1EB17E">
            <w:pPr>
              <w:tabs>
                <w:tab w:val="left" w:pos="3220"/>
              </w:tabs>
              <w:spacing w:before="180" w:after="180" w:line="360" w:lineRule="exact"/>
              <w:jc w:val="center"/>
              <w:rPr>
                <w:rFonts w:hint="eastAsia" w:ascii="宋体" w:hAnsi="宋体"/>
                <w:szCs w:val="21"/>
              </w:rPr>
            </w:pPr>
            <w:r>
              <w:rPr>
                <w:rFonts w:hint="eastAsia" w:ascii="宋体" w:hAnsi="宋体"/>
                <w:szCs w:val="21"/>
              </w:rPr>
              <w:t>12</w:t>
            </w:r>
          </w:p>
        </w:tc>
        <w:tc>
          <w:tcPr>
            <w:tcW w:w="993" w:type="dxa"/>
            <w:vAlign w:val="center"/>
          </w:tcPr>
          <w:p w14:paraId="5A8C24A2">
            <w:pPr>
              <w:tabs>
                <w:tab w:val="left" w:pos="3220"/>
              </w:tabs>
              <w:spacing w:before="180" w:after="180" w:line="360" w:lineRule="exact"/>
              <w:jc w:val="center"/>
              <w:rPr>
                <w:rFonts w:hint="eastAsia" w:ascii="宋体" w:hAnsi="宋体"/>
                <w:szCs w:val="21"/>
              </w:rPr>
            </w:pPr>
            <w:r>
              <w:rPr>
                <w:rFonts w:hint="eastAsia" w:ascii="宋体" w:hAnsi="宋体"/>
                <w:szCs w:val="21"/>
              </w:rPr>
              <w:t>贾晓</w:t>
            </w:r>
          </w:p>
        </w:tc>
        <w:tc>
          <w:tcPr>
            <w:tcW w:w="3118" w:type="dxa"/>
          </w:tcPr>
          <w:p w14:paraId="4D665057">
            <w:pPr>
              <w:tabs>
                <w:tab w:val="left" w:pos="3220"/>
              </w:tabs>
              <w:spacing w:before="180" w:after="180" w:line="360" w:lineRule="exact"/>
              <w:jc w:val="left"/>
              <w:rPr>
                <w:rFonts w:hint="eastAsia" w:ascii="宋体" w:hAnsi="宋体"/>
                <w:szCs w:val="21"/>
              </w:rPr>
            </w:pPr>
            <w:r>
              <w:rPr>
                <w:rFonts w:hint="eastAsia" w:ascii="宋体" w:hAnsi="宋体"/>
                <w:szCs w:val="21"/>
              </w:rPr>
              <w:t>招商局国际科技有限公司</w:t>
            </w:r>
          </w:p>
        </w:tc>
        <w:tc>
          <w:tcPr>
            <w:tcW w:w="3737" w:type="dxa"/>
            <w:vAlign w:val="center"/>
          </w:tcPr>
          <w:p w14:paraId="6924EC40">
            <w:pPr>
              <w:tabs>
                <w:tab w:val="left" w:pos="3220"/>
              </w:tabs>
              <w:spacing w:before="180" w:after="180" w:line="360" w:lineRule="exact"/>
              <w:jc w:val="left"/>
              <w:rPr>
                <w:rFonts w:hint="eastAsia" w:ascii="宋体" w:hAnsi="宋体"/>
                <w:szCs w:val="21"/>
              </w:rPr>
            </w:pPr>
            <w:r>
              <w:rPr>
                <w:rFonts w:hint="eastAsia" w:ascii="宋体" w:hAnsi="宋体"/>
                <w:szCs w:val="21"/>
              </w:rPr>
              <w:t>参与标准7、8、9章编写</w:t>
            </w:r>
          </w:p>
        </w:tc>
      </w:tr>
      <w:tr w14:paraId="20AD5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675" w:type="dxa"/>
            <w:vAlign w:val="center"/>
          </w:tcPr>
          <w:p w14:paraId="2D3925E1">
            <w:pPr>
              <w:tabs>
                <w:tab w:val="left" w:pos="3220"/>
              </w:tabs>
              <w:spacing w:before="180" w:after="180" w:line="360" w:lineRule="exact"/>
              <w:jc w:val="center"/>
              <w:rPr>
                <w:rFonts w:hint="eastAsia" w:ascii="宋体" w:hAnsi="宋体"/>
                <w:szCs w:val="21"/>
              </w:rPr>
            </w:pPr>
            <w:r>
              <w:rPr>
                <w:rFonts w:hint="eastAsia" w:ascii="宋体" w:hAnsi="宋体"/>
                <w:szCs w:val="21"/>
              </w:rPr>
              <w:t>13</w:t>
            </w:r>
          </w:p>
        </w:tc>
        <w:tc>
          <w:tcPr>
            <w:tcW w:w="993" w:type="dxa"/>
            <w:vAlign w:val="center"/>
          </w:tcPr>
          <w:p w14:paraId="046EF95D">
            <w:pPr>
              <w:tabs>
                <w:tab w:val="left" w:pos="3220"/>
              </w:tabs>
              <w:spacing w:before="180" w:after="180" w:line="360" w:lineRule="exact"/>
              <w:jc w:val="center"/>
              <w:rPr>
                <w:rFonts w:hint="eastAsia" w:ascii="宋体" w:hAnsi="宋体"/>
                <w:szCs w:val="21"/>
              </w:rPr>
            </w:pPr>
            <w:r>
              <w:rPr>
                <w:rFonts w:hint="eastAsia" w:ascii="宋体" w:hAnsi="宋体"/>
                <w:szCs w:val="21"/>
              </w:rPr>
              <w:t>毛钧</w:t>
            </w:r>
          </w:p>
        </w:tc>
        <w:tc>
          <w:tcPr>
            <w:tcW w:w="3118" w:type="dxa"/>
          </w:tcPr>
          <w:p w14:paraId="30612959">
            <w:pPr>
              <w:tabs>
                <w:tab w:val="left" w:pos="3220"/>
              </w:tabs>
              <w:spacing w:before="180" w:after="180" w:line="360" w:lineRule="exact"/>
              <w:jc w:val="left"/>
              <w:rPr>
                <w:rFonts w:hint="eastAsia" w:ascii="宋体" w:hAnsi="宋体"/>
                <w:szCs w:val="21"/>
              </w:rPr>
            </w:pPr>
            <w:r>
              <w:rPr>
                <w:rFonts w:hint="eastAsia" w:ascii="宋体" w:hAnsi="宋体"/>
                <w:szCs w:val="21"/>
              </w:rPr>
              <w:t>招商港航数字科技(辽宁)有限公司</w:t>
            </w:r>
          </w:p>
        </w:tc>
        <w:tc>
          <w:tcPr>
            <w:tcW w:w="3737" w:type="dxa"/>
            <w:vAlign w:val="center"/>
          </w:tcPr>
          <w:p w14:paraId="1A7BF687">
            <w:pPr>
              <w:tabs>
                <w:tab w:val="left" w:pos="3220"/>
              </w:tabs>
              <w:spacing w:before="180" w:after="180" w:line="360" w:lineRule="exact"/>
              <w:jc w:val="left"/>
              <w:rPr>
                <w:rFonts w:hint="eastAsia" w:ascii="宋体" w:hAnsi="宋体"/>
                <w:szCs w:val="21"/>
              </w:rPr>
            </w:pPr>
            <w:r>
              <w:rPr>
                <w:rFonts w:hint="eastAsia" w:ascii="宋体" w:hAnsi="宋体"/>
                <w:szCs w:val="21"/>
              </w:rPr>
              <w:t>参与标准7、8、9章编写</w:t>
            </w:r>
          </w:p>
        </w:tc>
      </w:tr>
      <w:tr w14:paraId="7ED9D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675" w:type="dxa"/>
            <w:vAlign w:val="center"/>
          </w:tcPr>
          <w:p w14:paraId="36377B24">
            <w:pPr>
              <w:tabs>
                <w:tab w:val="left" w:pos="3220"/>
              </w:tabs>
              <w:spacing w:before="180" w:after="180" w:line="360" w:lineRule="exact"/>
              <w:jc w:val="center"/>
              <w:rPr>
                <w:rFonts w:hint="eastAsia" w:ascii="宋体" w:hAnsi="宋体"/>
                <w:szCs w:val="21"/>
              </w:rPr>
            </w:pPr>
            <w:r>
              <w:rPr>
                <w:rFonts w:hint="eastAsia" w:ascii="宋体" w:hAnsi="宋体"/>
                <w:szCs w:val="21"/>
              </w:rPr>
              <w:t>14</w:t>
            </w:r>
          </w:p>
        </w:tc>
        <w:tc>
          <w:tcPr>
            <w:tcW w:w="993" w:type="dxa"/>
            <w:vAlign w:val="center"/>
          </w:tcPr>
          <w:p w14:paraId="097BE288">
            <w:pPr>
              <w:tabs>
                <w:tab w:val="left" w:pos="3220"/>
              </w:tabs>
              <w:spacing w:before="180" w:after="180" w:line="360" w:lineRule="exact"/>
              <w:jc w:val="center"/>
              <w:rPr>
                <w:rFonts w:hint="eastAsia" w:ascii="宋体" w:hAnsi="宋体"/>
                <w:szCs w:val="21"/>
              </w:rPr>
            </w:pPr>
            <w:r>
              <w:rPr>
                <w:rFonts w:hint="eastAsia" w:ascii="宋体" w:hAnsi="宋体"/>
                <w:szCs w:val="21"/>
              </w:rPr>
              <w:t>陈先丽</w:t>
            </w:r>
          </w:p>
        </w:tc>
        <w:tc>
          <w:tcPr>
            <w:tcW w:w="3118" w:type="dxa"/>
          </w:tcPr>
          <w:p w14:paraId="70AE35B3">
            <w:pPr>
              <w:tabs>
                <w:tab w:val="left" w:pos="3220"/>
              </w:tabs>
              <w:spacing w:before="180" w:after="180" w:line="360" w:lineRule="exact"/>
              <w:jc w:val="left"/>
              <w:rPr>
                <w:rFonts w:hint="eastAsia" w:ascii="宋体" w:hAnsi="宋体"/>
                <w:szCs w:val="21"/>
              </w:rPr>
            </w:pPr>
            <w:r>
              <w:rPr>
                <w:rFonts w:hint="eastAsia" w:ascii="宋体" w:hAnsi="宋体"/>
                <w:szCs w:val="21"/>
              </w:rPr>
              <w:t>招商局金融科技有限公司</w:t>
            </w:r>
          </w:p>
        </w:tc>
        <w:tc>
          <w:tcPr>
            <w:tcW w:w="3737" w:type="dxa"/>
            <w:vAlign w:val="center"/>
          </w:tcPr>
          <w:p w14:paraId="664EFA01">
            <w:pPr>
              <w:tabs>
                <w:tab w:val="left" w:pos="3220"/>
              </w:tabs>
              <w:spacing w:before="180" w:after="180" w:line="360" w:lineRule="exact"/>
              <w:jc w:val="left"/>
              <w:rPr>
                <w:rFonts w:hint="eastAsia" w:ascii="宋体" w:hAnsi="宋体"/>
                <w:szCs w:val="21"/>
              </w:rPr>
            </w:pPr>
            <w:r>
              <w:rPr>
                <w:rFonts w:hint="eastAsia" w:ascii="宋体" w:hAnsi="宋体"/>
                <w:szCs w:val="21"/>
              </w:rPr>
              <w:t>参与标准7、8、9章编写</w:t>
            </w:r>
          </w:p>
        </w:tc>
      </w:tr>
      <w:tr w14:paraId="74048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675" w:type="dxa"/>
            <w:vAlign w:val="center"/>
          </w:tcPr>
          <w:p w14:paraId="2ECA7BE8">
            <w:pPr>
              <w:tabs>
                <w:tab w:val="left" w:pos="3220"/>
              </w:tabs>
              <w:spacing w:before="180" w:after="180" w:line="360" w:lineRule="exact"/>
              <w:jc w:val="center"/>
              <w:rPr>
                <w:rFonts w:hint="eastAsia" w:ascii="宋体" w:hAnsi="宋体"/>
                <w:szCs w:val="21"/>
              </w:rPr>
            </w:pPr>
            <w:r>
              <w:rPr>
                <w:rFonts w:hint="eastAsia" w:ascii="宋体" w:hAnsi="宋体"/>
                <w:szCs w:val="21"/>
              </w:rPr>
              <w:t>15</w:t>
            </w:r>
          </w:p>
        </w:tc>
        <w:tc>
          <w:tcPr>
            <w:tcW w:w="993" w:type="dxa"/>
            <w:vAlign w:val="center"/>
          </w:tcPr>
          <w:p w14:paraId="29003C0A">
            <w:pPr>
              <w:tabs>
                <w:tab w:val="left" w:pos="3220"/>
              </w:tabs>
              <w:spacing w:before="180" w:after="180" w:line="360" w:lineRule="exact"/>
              <w:jc w:val="center"/>
              <w:rPr>
                <w:rFonts w:hint="eastAsia" w:ascii="宋体" w:hAnsi="宋体"/>
                <w:szCs w:val="21"/>
              </w:rPr>
            </w:pPr>
            <w:r>
              <w:rPr>
                <w:rFonts w:hint="eastAsia" w:ascii="宋体" w:hAnsi="宋体"/>
                <w:szCs w:val="21"/>
              </w:rPr>
              <w:t>张永明</w:t>
            </w:r>
          </w:p>
        </w:tc>
        <w:tc>
          <w:tcPr>
            <w:tcW w:w="3118" w:type="dxa"/>
          </w:tcPr>
          <w:p w14:paraId="090C0D6C">
            <w:pPr>
              <w:tabs>
                <w:tab w:val="left" w:pos="3220"/>
              </w:tabs>
              <w:spacing w:before="180" w:after="180" w:line="360" w:lineRule="exact"/>
              <w:jc w:val="left"/>
              <w:rPr>
                <w:rFonts w:hint="eastAsia" w:ascii="宋体" w:hAnsi="宋体"/>
                <w:szCs w:val="21"/>
              </w:rPr>
            </w:pPr>
            <w:r>
              <w:rPr>
                <w:rFonts w:hint="eastAsia" w:ascii="宋体" w:hAnsi="宋体"/>
                <w:szCs w:val="21"/>
              </w:rPr>
              <w:t>交通运输部水运科学研究所</w:t>
            </w:r>
          </w:p>
        </w:tc>
        <w:tc>
          <w:tcPr>
            <w:tcW w:w="3737" w:type="dxa"/>
            <w:vAlign w:val="center"/>
          </w:tcPr>
          <w:p w14:paraId="2E6BAE25">
            <w:pPr>
              <w:tabs>
                <w:tab w:val="left" w:pos="3220"/>
              </w:tabs>
              <w:spacing w:before="180" w:after="180" w:line="360" w:lineRule="exact"/>
              <w:jc w:val="left"/>
              <w:rPr>
                <w:rFonts w:hint="eastAsia" w:ascii="宋体" w:hAnsi="宋体"/>
                <w:szCs w:val="21"/>
              </w:rPr>
            </w:pPr>
            <w:r>
              <w:rPr>
                <w:rFonts w:hint="eastAsia" w:ascii="宋体" w:hAnsi="宋体"/>
                <w:szCs w:val="21"/>
              </w:rPr>
              <w:t>参与标准4、5、6、7、8、9章编写</w:t>
            </w:r>
          </w:p>
        </w:tc>
      </w:tr>
      <w:tr w14:paraId="68AFF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675" w:type="dxa"/>
            <w:vAlign w:val="center"/>
          </w:tcPr>
          <w:p w14:paraId="5484FBDB">
            <w:pPr>
              <w:tabs>
                <w:tab w:val="left" w:pos="3220"/>
              </w:tabs>
              <w:spacing w:before="180" w:after="180" w:line="360" w:lineRule="exact"/>
              <w:jc w:val="center"/>
              <w:rPr>
                <w:rFonts w:hint="eastAsia" w:ascii="宋体" w:hAnsi="宋体"/>
                <w:szCs w:val="21"/>
              </w:rPr>
            </w:pPr>
            <w:r>
              <w:rPr>
                <w:rFonts w:hint="eastAsia" w:ascii="宋体" w:hAnsi="宋体"/>
                <w:szCs w:val="21"/>
              </w:rPr>
              <w:t>16</w:t>
            </w:r>
          </w:p>
        </w:tc>
        <w:tc>
          <w:tcPr>
            <w:tcW w:w="993" w:type="dxa"/>
            <w:vAlign w:val="center"/>
          </w:tcPr>
          <w:p w14:paraId="0CBEE2B8">
            <w:pPr>
              <w:tabs>
                <w:tab w:val="left" w:pos="3220"/>
              </w:tabs>
              <w:spacing w:before="180" w:after="180" w:line="360" w:lineRule="exact"/>
              <w:jc w:val="center"/>
              <w:rPr>
                <w:rFonts w:hint="eastAsia" w:ascii="宋体" w:hAnsi="宋体"/>
                <w:szCs w:val="21"/>
              </w:rPr>
            </w:pPr>
            <w:r>
              <w:rPr>
                <w:rFonts w:hint="eastAsia" w:ascii="宋体" w:hAnsi="宋体"/>
                <w:szCs w:val="21"/>
              </w:rPr>
              <w:t>赵洁婷</w:t>
            </w:r>
          </w:p>
        </w:tc>
        <w:tc>
          <w:tcPr>
            <w:tcW w:w="3118" w:type="dxa"/>
          </w:tcPr>
          <w:p w14:paraId="120C5E60">
            <w:pPr>
              <w:tabs>
                <w:tab w:val="left" w:pos="3220"/>
              </w:tabs>
              <w:spacing w:before="180" w:after="180" w:line="360" w:lineRule="exact"/>
              <w:jc w:val="left"/>
              <w:rPr>
                <w:rFonts w:hint="eastAsia" w:ascii="宋体" w:hAnsi="宋体"/>
                <w:szCs w:val="21"/>
              </w:rPr>
            </w:pPr>
            <w:r>
              <w:rPr>
                <w:rFonts w:hint="eastAsia" w:ascii="宋体" w:hAnsi="宋体"/>
                <w:szCs w:val="21"/>
              </w:rPr>
              <w:t>交通运输部水运科学研究所</w:t>
            </w:r>
          </w:p>
        </w:tc>
        <w:tc>
          <w:tcPr>
            <w:tcW w:w="3737" w:type="dxa"/>
            <w:vAlign w:val="center"/>
          </w:tcPr>
          <w:p w14:paraId="7F8D3ED2">
            <w:pPr>
              <w:tabs>
                <w:tab w:val="left" w:pos="3220"/>
              </w:tabs>
              <w:spacing w:before="180" w:after="180" w:line="360" w:lineRule="exact"/>
              <w:jc w:val="left"/>
              <w:rPr>
                <w:rFonts w:hint="eastAsia" w:ascii="宋体" w:hAnsi="宋体"/>
                <w:szCs w:val="21"/>
              </w:rPr>
            </w:pPr>
            <w:r>
              <w:rPr>
                <w:rFonts w:hint="eastAsia" w:ascii="宋体" w:hAnsi="宋体"/>
                <w:szCs w:val="21"/>
              </w:rPr>
              <w:t>参与标准4、5、6、7、8、9章编写</w:t>
            </w:r>
          </w:p>
        </w:tc>
      </w:tr>
      <w:tr w14:paraId="690C6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675" w:type="dxa"/>
            <w:vAlign w:val="center"/>
          </w:tcPr>
          <w:p w14:paraId="4CD5B807">
            <w:pPr>
              <w:tabs>
                <w:tab w:val="left" w:pos="3220"/>
              </w:tabs>
              <w:spacing w:before="180" w:after="180" w:line="360" w:lineRule="exact"/>
              <w:jc w:val="center"/>
              <w:rPr>
                <w:rFonts w:hint="eastAsia" w:ascii="宋体" w:hAnsi="宋体"/>
                <w:szCs w:val="21"/>
              </w:rPr>
            </w:pPr>
            <w:r>
              <w:rPr>
                <w:rFonts w:hint="eastAsia" w:ascii="宋体" w:hAnsi="宋体"/>
                <w:szCs w:val="21"/>
              </w:rPr>
              <w:t>17</w:t>
            </w:r>
          </w:p>
        </w:tc>
        <w:tc>
          <w:tcPr>
            <w:tcW w:w="993" w:type="dxa"/>
            <w:vAlign w:val="center"/>
          </w:tcPr>
          <w:p w14:paraId="3E01C13B">
            <w:pPr>
              <w:tabs>
                <w:tab w:val="left" w:pos="3220"/>
              </w:tabs>
              <w:spacing w:before="180" w:after="180" w:line="360" w:lineRule="exact"/>
              <w:jc w:val="center"/>
              <w:rPr>
                <w:rFonts w:hint="eastAsia" w:ascii="宋体" w:hAnsi="宋体"/>
                <w:szCs w:val="21"/>
              </w:rPr>
            </w:pPr>
            <w:r>
              <w:rPr>
                <w:rFonts w:hint="eastAsia" w:ascii="宋体" w:hAnsi="宋体"/>
                <w:szCs w:val="21"/>
              </w:rPr>
              <w:t>程紫来</w:t>
            </w:r>
          </w:p>
        </w:tc>
        <w:tc>
          <w:tcPr>
            <w:tcW w:w="3118" w:type="dxa"/>
          </w:tcPr>
          <w:p w14:paraId="645EC25B">
            <w:pPr>
              <w:tabs>
                <w:tab w:val="left" w:pos="3220"/>
              </w:tabs>
              <w:spacing w:before="180" w:after="180" w:line="360" w:lineRule="exact"/>
              <w:jc w:val="left"/>
              <w:rPr>
                <w:rFonts w:hint="eastAsia" w:ascii="宋体" w:hAnsi="宋体"/>
                <w:szCs w:val="21"/>
              </w:rPr>
            </w:pPr>
            <w:r>
              <w:rPr>
                <w:rFonts w:hint="eastAsia" w:ascii="宋体" w:hAnsi="宋体"/>
                <w:szCs w:val="21"/>
              </w:rPr>
              <w:t>交通运输部水运科学研究所</w:t>
            </w:r>
          </w:p>
        </w:tc>
        <w:tc>
          <w:tcPr>
            <w:tcW w:w="3737" w:type="dxa"/>
            <w:vAlign w:val="center"/>
          </w:tcPr>
          <w:p w14:paraId="225319AB">
            <w:pPr>
              <w:tabs>
                <w:tab w:val="left" w:pos="3220"/>
              </w:tabs>
              <w:spacing w:before="180" w:after="180" w:line="360" w:lineRule="exact"/>
              <w:jc w:val="left"/>
              <w:rPr>
                <w:rFonts w:hint="eastAsia" w:ascii="宋体" w:hAnsi="宋体"/>
                <w:szCs w:val="21"/>
              </w:rPr>
            </w:pPr>
            <w:r>
              <w:rPr>
                <w:rFonts w:hint="eastAsia" w:ascii="宋体" w:hAnsi="宋体"/>
                <w:szCs w:val="21"/>
              </w:rPr>
              <w:t>参与标准7、8、9章编写</w:t>
            </w:r>
          </w:p>
        </w:tc>
      </w:tr>
    </w:tbl>
    <w:p w14:paraId="069E1857">
      <w:pPr>
        <w:pStyle w:val="2"/>
        <w:spacing w:before="0" w:after="0" w:line="360" w:lineRule="auto"/>
        <w:ind w:firstLine="480" w:firstLineChars="200"/>
        <w:rPr>
          <w:rFonts w:hint="eastAsia" w:ascii="宋体" w:hAnsi="宋体"/>
          <w:sz w:val="24"/>
          <w:szCs w:val="24"/>
        </w:rPr>
      </w:pPr>
    </w:p>
    <w:p w14:paraId="7A187BAC">
      <w:pPr>
        <w:pStyle w:val="2"/>
        <w:spacing w:before="0" w:after="0" w:line="360" w:lineRule="auto"/>
        <w:ind w:firstLine="480" w:firstLineChars="200"/>
        <w:rPr>
          <w:rFonts w:hint="eastAsia" w:ascii="宋体" w:hAnsi="宋体"/>
          <w:sz w:val="24"/>
          <w:szCs w:val="24"/>
        </w:rPr>
      </w:pPr>
      <w:bookmarkStart w:id="4" w:name="_Toc205985402"/>
      <w:r>
        <w:rPr>
          <w:rFonts w:hint="eastAsia" w:ascii="宋体" w:hAnsi="宋体"/>
          <w:sz w:val="24"/>
          <w:szCs w:val="24"/>
        </w:rPr>
        <w:t>二、标准编制原则和确定标准主要内容的依据</w:t>
      </w:r>
      <w:bookmarkEnd w:id="4"/>
    </w:p>
    <w:p w14:paraId="184D6CEC">
      <w:pPr>
        <w:spacing w:line="360" w:lineRule="auto"/>
        <w:ind w:firstLine="480" w:firstLineChars="200"/>
        <w:rPr>
          <w:rFonts w:hint="eastAsia" w:ascii="宋体" w:hAnsi="宋体"/>
          <w:b/>
          <w:sz w:val="24"/>
        </w:rPr>
      </w:pPr>
      <w:r>
        <w:rPr>
          <w:rFonts w:hint="eastAsia" w:ascii="宋体" w:hAnsi="宋体"/>
          <w:b/>
          <w:sz w:val="24"/>
        </w:rPr>
        <w:t>（一）标准编制原则和依据</w:t>
      </w:r>
    </w:p>
    <w:p w14:paraId="6D5861E3">
      <w:pPr>
        <w:spacing w:line="360" w:lineRule="auto"/>
        <w:ind w:firstLine="480" w:firstLineChars="200"/>
        <w:rPr>
          <w:rFonts w:hint="eastAsia" w:ascii="宋体" w:hAnsi="宋体"/>
          <w:sz w:val="24"/>
        </w:rPr>
      </w:pPr>
      <w:r>
        <w:rPr>
          <w:rFonts w:hint="eastAsia" w:ascii="宋体" w:hAnsi="宋体"/>
          <w:sz w:val="24"/>
        </w:rPr>
        <w:t>本标准的制定工作按下列原则和要求进行：</w:t>
      </w:r>
    </w:p>
    <w:p w14:paraId="72B03E98">
      <w:pPr>
        <w:numPr>
          <w:ilvl w:val="0"/>
          <w:numId w:val="3"/>
        </w:numPr>
        <w:spacing w:line="360" w:lineRule="auto"/>
        <w:ind w:hanging="5"/>
        <w:rPr>
          <w:rFonts w:hint="eastAsia" w:ascii="宋体" w:hAnsi="宋体"/>
          <w:b/>
          <w:bCs/>
          <w:sz w:val="24"/>
        </w:rPr>
      </w:pPr>
      <w:r>
        <w:rPr>
          <w:rFonts w:hint="eastAsia" w:ascii="宋体" w:hAnsi="宋体"/>
          <w:b/>
          <w:bCs/>
          <w:sz w:val="24"/>
        </w:rPr>
        <w:t xml:space="preserve">适用性 </w:t>
      </w:r>
    </w:p>
    <w:p w14:paraId="6E5E343E">
      <w:pPr>
        <w:spacing w:line="360" w:lineRule="auto"/>
        <w:ind w:firstLine="480" w:firstLineChars="200"/>
        <w:rPr>
          <w:rFonts w:hint="eastAsia" w:ascii="宋体" w:hAnsi="宋体"/>
          <w:sz w:val="24"/>
        </w:rPr>
      </w:pPr>
      <w:r>
        <w:rPr>
          <w:rFonts w:hint="eastAsia" w:ascii="宋体" w:hAnsi="宋体"/>
          <w:sz w:val="24"/>
        </w:rPr>
        <w:t xml:space="preserve">在本标准编制前和编制过程中，编写团队进行了大量的调研和技术分析，从港口自动化设备智能管理系统的设计、开发和使用人的实际需求出发，广泛咨询了业内专家与相关从业人员，标准中的内容依据实际业务需求制定，保证了标准的适用性。 </w:t>
      </w:r>
    </w:p>
    <w:p w14:paraId="2F072570">
      <w:pPr>
        <w:numPr>
          <w:ilvl w:val="0"/>
          <w:numId w:val="3"/>
        </w:numPr>
        <w:spacing w:line="360" w:lineRule="auto"/>
        <w:ind w:hanging="5"/>
        <w:rPr>
          <w:rFonts w:hint="eastAsia" w:ascii="宋体" w:hAnsi="宋体"/>
          <w:b/>
          <w:bCs/>
          <w:sz w:val="24"/>
        </w:rPr>
      </w:pPr>
      <w:r>
        <w:rPr>
          <w:rFonts w:hint="eastAsia" w:ascii="宋体" w:hAnsi="宋体"/>
          <w:b/>
          <w:bCs/>
          <w:sz w:val="24"/>
        </w:rPr>
        <w:t xml:space="preserve">科学性 </w:t>
      </w:r>
    </w:p>
    <w:p w14:paraId="4033F75B">
      <w:pPr>
        <w:spacing w:line="360" w:lineRule="auto"/>
        <w:ind w:firstLine="480" w:firstLineChars="200"/>
        <w:rPr>
          <w:rFonts w:hint="eastAsia" w:ascii="宋体" w:hAnsi="宋体"/>
          <w:sz w:val="24"/>
        </w:rPr>
      </w:pPr>
      <w:r>
        <w:rPr>
          <w:rFonts w:hint="eastAsia" w:ascii="宋体" w:hAnsi="宋体"/>
          <w:sz w:val="24"/>
        </w:rPr>
        <w:t>本标准技术内容结合了相关企业在港口自动化设备智能管理系统方面的实际经验，在参考现有相关标准的基础上，充分听取各方建议后编制而成的，标准力求内容准确、可操作，希望能为港口自动化设备智能管理水平的进一步提升提供支持。</w:t>
      </w:r>
    </w:p>
    <w:p w14:paraId="24A52458">
      <w:pPr>
        <w:numPr>
          <w:ilvl w:val="0"/>
          <w:numId w:val="3"/>
        </w:numPr>
        <w:spacing w:line="360" w:lineRule="auto"/>
        <w:ind w:hanging="5"/>
        <w:rPr>
          <w:rFonts w:hint="eastAsia" w:ascii="宋体" w:hAnsi="宋体"/>
          <w:b/>
          <w:bCs/>
          <w:sz w:val="24"/>
        </w:rPr>
      </w:pPr>
      <w:r>
        <w:rPr>
          <w:rFonts w:hint="eastAsia" w:ascii="宋体" w:hAnsi="宋体"/>
          <w:b/>
          <w:bCs/>
          <w:sz w:val="24"/>
        </w:rPr>
        <w:t xml:space="preserve">先进性 </w:t>
      </w:r>
    </w:p>
    <w:p w14:paraId="6E7005FA">
      <w:pPr>
        <w:spacing w:line="360" w:lineRule="auto"/>
        <w:ind w:firstLine="480" w:firstLineChars="200"/>
        <w:rPr>
          <w:rFonts w:hint="eastAsia" w:ascii="宋体" w:hAnsi="宋体"/>
          <w:sz w:val="24"/>
        </w:rPr>
      </w:pPr>
      <w:r>
        <w:rPr>
          <w:rFonts w:hint="eastAsia" w:ascii="宋体" w:hAnsi="宋体"/>
          <w:sz w:val="24"/>
        </w:rPr>
        <w:t>本标准参考了行业内较为主流的技术方案及人工智能领域部分前沿技术的标准，满足新形势下港口自动化设备智能管理持续发展需求。同时，本标准的提出有助于填补港口自动化设备智能管理领域存在的标准空白，建立基于人工智能大模型的全生命周期设备管理模式，推动港口设备运维系统向智能诊断转变，提高设备运维综合效能。</w:t>
      </w:r>
    </w:p>
    <w:p w14:paraId="5AA248FF">
      <w:pPr>
        <w:spacing w:line="360" w:lineRule="auto"/>
        <w:ind w:firstLine="480" w:firstLineChars="200"/>
        <w:rPr>
          <w:rFonts w:hint="eastAsia" w:ascii="宋体" w:hAnsi="宋体"/>
          <w:b/>
          <w:sz w:val="24"/>
        </w:rPr>
      </w:pPr>
      <w:r>
        <w:rPr>
          <w:rFonts w:hint="eastAsia" w:ascii="宋体" w:hAnsi="宋体"/>
          <w:b/>
          <w:sz w:val="24"/>
        </w:rPr>
        <w:t>（二）确定标准主要内容的依据</w:t>
      </w:r>
    </w:p>
    <w:p w14:paraId="1ED73E2C">
      <w:pPr>
        <w:pStyle w:val="42"/>
        <w:numPr>
          <w:ilvl w:val="0"/>
          <w:numId w:val="4"/>
        </w:numPr>
        <w:spacing w:line="360" w:lineRule="auto"/>
        <w:ind w:hanging="5"/>
        <w:rPr>
          <w:rFonts w:hint="eastAsia" w:ascii="宋体" w:hAnsi="宋体"/>
          <w:b/>
          <w:color w:val="auto"/>
          <w:kern w:val="2"/>
        </w:rPr>
      </w:pPr>
      <w:r>
        <w:rPr>
          <w:rFonts w:hint="eastAsia" w:ascii="宋体" w:hAnsi="宋体"/>
          <w:b/>
          <w:color w:val="auto"/>
          <w:kern w:val="2"/>
        </w:rPr>
        <w:t>标准名称</w:t>
      </w:r>
    </w:p>
    <w:p w14:paraId="4278E82A">
      <w:pPr>
        <w:pStyle w:val="42"/>
        <w:spacing w:line="360" w:lineRule="auto"/>
        <w:ind w:firstLine="480" w:firstLineChars="200"/>
        <w:rPr>
          <w:rFonts w:hint="eastAsia" w:ascii="宋体" w:hAnsi="宋体"/>
          <w:color w:val="auto"/>
          <w:kern w:val="2"/>
        </w:rPr>
      </w:pPr>
      <w:r>
        <w:rPr>
          <w:rFonts w:hint="eastAsia" w:ascii="宋体" w:hAnsi="宋体"/>
          <w:color w:val="auto"/>
          <w:kern w:val="2"/>
        </w:rPr>
        <w:t>根据标准技术内容和范围，按照工作大纲评审会意见，标准名称修改为《</w:t>
      </w:r>
      <w:r>
        <w:rPr>
          <w:rFonts w:hint="eastAsia" w:ascii="宋体" w:hAnsi="宋体"/>
        </w:rPr>
        <w:t>港口自动化设备智能管理系统技术要求</w:t>
      </w:r>
      <w:r>
        <w:rPr>
          <w:rFonts w:hint="eastAsia" w:ascii="宋体" w:hAnsi="宋体"/>
          <w:color w:val="auto"/>
          <w:kern w:val="2"/>
        </w:rPr>
        <w:t>》</w:t>
      </w:r>
    </w:p>
    <w:p w14:paraId="336F665B">
      <w:pPr>
        <w:pStyle w:val="42"/>
        <w:numPr>
          <w:ilvl w:val="0"/>
          <w:numId w:val="4"/>
        </w:numPr>
        <w:spacing w:line="360" w:lineRule="auto"/>
        <w:ind w:hanging="5"/>
        <w:rPr>
          <w:rFonts w:hint="eastAsia" w:ascii="宋体" w:hAnsi="宋体"/>
          <w:b/>
          <w:color w:val="auto"/>
          <w:kern w:val="2"/>
        </w:rPr>
      </w:pPr>
      <w:r>
        <w:rPr>
          <w:rFonts w:hint="eastAsia" w:ascii="宋体" w:hAnsi="宋体"/>
          <w:b/>
          <w:color w:val="auto"/>
          <w:kern w:val="2"/>
        </w:rPr>
        <w:t>第一章 范围</w:t>
      </w:r>
    </w:p>
    <w:p w14:paraId="53B67564">
      <w:pPr>
        <w:pStyle w:val="42"/>
        <w:spacing w:line="360" w:lineRule="auto"/>
        <w:ind w:firstLine="481"/>
        <w:rPr>
          <w:rFonts w:hint="eastAsia" w:ascii="宋体" w:hAnsi="宋体"/>
        </w:rPr>
      </w:pPr>
      <w:r>
        <w:rPr>
          <w:rFonts w:hint="eastAsia" w:ascii="宋体" w:hAnsi="宋体"/>
        </w:rPr>
        <w:t>本文件规定了港口自动化设备智能管理系统的系统构成、一般要求、功能要求、数据管理、算法模型、安全与保护等技术要求。</w:t>
      </w:r>
    </w:p>
    <w:p w14:paraId="19C27059">
      <w:pPr>
        <w:pStyle w:val="42"/>
        <w:spacing w:line="360" w:lineRule="auto"/>
        <w:ind w:firstLine="481"/>
        <w:rPr>
          <w:rFonts w:hint="eastAsia" w:ascii="宋体" w:hAnsi="宋体"/>
        </w:rPr>
      </w:pPr>
      <w:r>
        <w:rPr>
          <w:rFonts w:hint="eastAsia" w:ascii="宋体" w:hAnsi="宋体"/>
        </w:rPr>
        <w:t>本文件适用于港口专业集装箱和干散货码头自动化设备智能管理系统的设计、开发和使用。</w:t>
      </w:r>
    </w:p>
    <w:p w14:paraId="535CB2D7">
      <w:pPr>
        <w:pStyle w:val="42"/>
        <w:numPr>
          <w:ilvl w:val="0"/>
          <w:numId w:val="4"/>
        </w:numPr>
        <w:spacing w:line="360" w:lineRule="auto"/>
        <w:ind w:hanging="5"/>
        <w:rPr>
          <w:rFonts w:hint="eastAsia" w:ascii="宋体" w:hAnsi="宋体"/>
          <w:b/>
          <w:color w:val="auto"/>
          <w:kern w:val="2"/>
        </w:rPr>
      </w:pPr>
      <w:r>
        <w:rPr>
          <w:rFonts w:hint="eastAsia" w:ascii="宋体" w:hAnsi="宋体"/>
          <w:b/>
          <w:color w:val="auto"/>
          <w:kern w:val="2"/>
        </w:rPr>
        <w:t>第二章 规范性引用文件</w:t>
      </w:r>
    </w:p>
    <w:p w14:paraId="2645B7E6">
      <w:pPr>
        <w:pStyle w:val="42"/>
        <w:spacing w:line="360" w:lineRule="auto"/>
        <w:rPr>
          <w:rFonts w:hint="eastAsia" w:ascii="宋体" w:hAnsi="宋体"/>
        </w:rPr>
      </w:pPr>
      <w:r>
        <w:rPr>
          <w:rFonts w:hint="eastAsia" w:ascii="宋体" w:hAnsi="宋体"/>
          <w:b/>
          <w:color w:val="auto"/>
          <w:kern w:val="2"/>
        </w:rPr>
        <w:t xml:space="preserve">    </w:t>
      </w:r>
      <w:r>
        <w:rPr>
          <w:rFonts w:hint="eastAsia" w:ascii="宋体" w:hAnsi="宋体"/>
        </w:rPr>
        <w:t>从规范本标准的术语以及引用作为本标准的技术条款要求角度，引用了以</w:t>
      </w:r>
    </w:p>
    <w:p w14:paraId="5BACCB91">
      <w:pPr>
        <w:pStyle w:val="42"/>
        <w:spacing w:line="360" w:lineRule="auto"/>
        <w:rPr>
          <w:rFonts w:hint="eastAsia" w:ascii="宋体" w:hAnsi="宋体"/>
        </w:rPr>
      </w:pPr>
      <w:r>
        <w:rPr>
          <w:rFonts w:hint="eastAsia" w:ascii="宋体" w:hAnsi="宋体"/>
        </w:rPr>
        <w:t>下标准：</w:t>
      </w:r>
    </w:p>
    <w:p w14:paraId="0F0A71CA">
      <w:pPr>
        <w:pStyle w:val="42"/>
        <w:spacing w:line="360" w:lineRule="auto"/>
        <w:ind w:firstLine="481"/>
        <w:rPr>
          <w:rFonts w:hint="eastAsia" w:ascii="宋体" w:hAnsi="宋体"/>
        </w:rPr>
      </w:pPr>
      <w:r>
        <w:rPr>
          <w:rFonts w:hint="eastAsia" w:ascii="宋体" w:hAnsi="宋体"/>
        </w:rPr>
        <w:t>GB/T 22239  信息安全技术 网络安全等级保护基本要求</w:t>
      </w:r>
    </w:p>
    <w:p w14:paraId="1EBC0C61">
      <w:pPr>
        <w:pStyle w:val="42"/>
        <w:spacing w:line="360" w:lineRule="auto"/>
        <w:ind w:firstLine="481"/>
        <w:rPr>
          <w:rFonts w:hint="eastAsia" w:ascii="宋体" w:hAnsi="宋体"/>
        </w:rPr>
      </w:pPr>
      <w:r>
        <w:rPr>
          <w:rFonts w:hint="eastAsia" w:ascii="宋体" w:hAnsi="宋体"/>
        </w:rPr>
        <w:t>GB/T 37934  信息安全技术 工业控制网络安全隔离与信息交换系统安全技术要求</w:t>
      </w:r>
    </w:p>
    <w:p w14:paraId="2F33AF58">
      <w:pPr>
        <w:pStyle w:val="42"/>
        <w:spacing w:line="360" w:lineRule="auto"/>
        <w:ind w:firstLine="481"/>
        <w:rPr>
          <w:rFonts w:hint="eastAsia" w:ascii="宋体" w:hAnsi="宋体"/>
        </w:rPr>
      </w:pPr>
      <w:r>
        <w:rPr>
          <w:rFonts w:hint="eastAsia" w:ascii="宋体" w:hAnsi="宋体"/>
        </w:rPr>
        <w:t>GB/T 42809  自动化集装箱码头操作系统技术要求</w:t>
      </w:r>
    </w:p>
    <w:p w14:paraId="6CDA8F18">
      <w:pPr>
        <w:pStyle w:val="42"/>
        <w:spacing w:line="360" w:lineRule="auto"/>
        <w:ind w:firstLine="481"/>
        <w:rPr>
          <w:rFonts w:hint="eastAsia" w:ascii="宋体" w:hAnsi="宋体"/>
        </w:rPr>
      </w:pPr>
      <w:r>
        <w:rPr>
          <w:rFonts w:hint="eastAsia" w:ascii="宋体" w:hAnsi="宋体"/>
        </w:rPr>
        <w:t>GB/T 43380  自动化干散货码头综合管控系统技术要求</w:t>
      </w:r>
    </w:p>
    <w:p w14:paraId="17B07A8A">
      <w:pPr>
        <w:pStyle w:val="42"/>
        <w:numPr>
          <w:ilvl w:val="0"/>
          <w:numId w:val="4"/>
        </w:numPr>
        <w:spacing w:line="360" w:lineRule="auto"/>
        <w:ind w:hanging="5"/>
        <w:rPr>
          <w:rFonts w:hint="eastAsia" w:ascii="宋体" w:hAnsi="宋体"/>
          <w:b/>
          <w:color w:val="auto"/>
          <w:kern w:val="2"/>
        </w:rPr>
      </w:pPr>
      <w:r>
        <w:rPr>
          <w:rFonts w:hint="eastAsia" w:ascii="宋体" w:hAnsi="宋体"/>
          <w:b/>
          <w:color w:val="auto"/>
          <w:kern w:val="2"/>
        </w:rPr>
        <w:t>第三章 术语和定义及缩略语</w:t>
      </w:r>
    </w:p>
    <w:p w14:paraId="6859CC7C">
      <w:pPr>
        <w:pStyle w:val="42"/>
        <w:spacing w:line="360" w:lineRule="auto"/>
        <w:ind w:firstLine="480" w:firstLineChars="200"/>
        <w:rPr>
          <w:rFonts w:hint="eastAsia" w:ascii="宋体" w:hAnsi="宋体" w:cs="宋体"/>
        </w:rPr>
      </w:pPr>
      <w:r>
        <w:rPr>
          <w:rFonts w:hint="eastAsia" w:ascii="宋体" w:hAnsi="宋体" w:cs="宋体"/>
        </w:rPr>
        <w:t>为了确保在标准使用过程中，相关人员对特定概念和词汇有着统一、准确的理解，避免因语义模糊或理解偏差导致标准应用出现混乱，定义了本文件所涉及的术语和定义及缩略语。</w:t>
      </w:r>
    </w:p>
    <w:p w14:paraId="58068E68">
      <w:pPr>
        <w:pStyle w:val="42"/>
        <w:spacing w:line="360" w:lineRule="auto"/>
        <w:ind w:firstLine="480" w:firstLineChars="200"/>
        <w:rPr>
          <w:rFonts w:hint="eastAsia" w:ascii="宋体" w:hAnsi="宋体" w:cs="宋体"/>
        </w:rPr>
      </w:pPr>
      <w:r>
        <w:rPr>
          <w:rFonts w:hint="eastAsia" w:ascii="宋体" w:hAnsi="宋体" w:cs="宋体"/>
        </w:rPr>
        <w:t>相关术语优先采用现有国家标准中已有的成熟定义，引用了GB/T 43555《智能服务 预测性维护 算法测评方法》、GB/T 40571《智能服务 预测性维护 通用要求》，对于需要结合本标准特定场景进行调整的，在原有定义基础上进行合理修改，以保证术语的科学性和连贯性。</w:t>
      </w:r>
    </w:p>
    <w:p w14:paraId="0E921210">
      <w:pPr>
        <w:pStyle w:val="42"/>
        <w:spacing w:line="360" w:lineRule="auto"/>
        <w:ind w:firstLine="480" w:firstLineChars="200"/>
        <w:rPr>
          <w:rFonts w:hint="eastAsia" w:ascii="宋体" w:hAnsi="宋体" w:cs="宋体"/>
        </w:rPr>
      </w:pPr>
      <w:r>
        <w:rPr>
          <w:rFonts w:hint="eastAsia" w:ascii="宋体" w:hAnsi="宋体" w:cs="宋体"/>
        </w:rPr>
        <w:t>相关缩略语选取在港口自动化设备智能管理系统相关技术领域中广泛使用、具有代表性的缩略语，主要包括LLM、MTTR、API、TPS、GPU、SFT、RAG、LSTM，这些缩略语涉及人工智能、信息技术、设备管理等多个与系统紧密相关的领域，能够简化标准表述，提高标准的可读性和专业性。</w:t>
      </w:r>
    </w:p>
    <w:p w14:paraId="14CBA0F8">
      <w:pPr>
        <w:numPr>
          <w:ilvl w:val="0"/>
          <w:numId w:val="4"/>
        </w:numPr>
        <w:spacing w:line="360" w:lineRule="auto"/>
        <w:ind w:hanging="5"/>
        <w:rPr>
          <w:rFonts w:hint="eastAsia" w:ascii="宋体" w:hAnsi="宋体" w:cs="宋体"/>
          <w:b/>
          <w:bCs/>
          <w:sz w:val="24"/>
        </w:rPr>
      </w:pPr>
      <w:r>
        <w:rPr>
          <w:rFonts w:hint="eastAsia" w:ascii="宋体" w:hAnsi="宋体" w:cs="宋体"/>
          <w:b/>
          <w:bCs/>
          <w:sz w:val="24"/>
        </w:rPr>
        <w:t>第四章 系统构成</w:t>
      </w:r>
    </w:p>
    <w:p w14:paraId="62EB0390">
      <w:pPr>
        <w:pStyle w:val="42"/>
        <w:spacing w:line="360" w:lineRule="auto"/>
        <w:ind w:firstLine="480" w:firstLineChars="200"/>
        <w:rPr>
          <w:rFonts w:hint="eastAsia" w:ascii="宋体" w:hAnsi="宋体" w:cs="宋体"/>
        </w:rPr>
      </w:pPr>
      <w:r>
        <w:rPr>
          <w:rFonts w:hint="eastAsia" w:ascii="宋体" w:hAnsi="宋体" w:cs="宋体"/>
        </w:rPr>
        <w:t>（1）系统框架</w:t>
      </w:r>
    </w:p>
    <w:p w14:paraId="6CF4915D">
      <w:pPr>
        <w:pStyle w:val="42"/>
        <w:spacing w:line="360" w:lineRule="auto"/>
        <w:ind w:firstLine="480" w:firstLineChars="200"/>
        <w:rPr>
          <w:rFonts w:hint="eastAsia" w:ascii="宋体" w:hAnsi="宋体" w:cs="宋体"/>
        </w:rPr>
      </w:pPr>
      <w:r>
        <w:rPr>
          <w:rFonts w:hint="eastAsia" w:ascii="宋体" w:hAnsi="宋体" w:cs="宋体"/>
        </w:rPr>
        <w:t>本部分旨在明确系统构成框架，为系统设计、开发及使用提供标准化依据，使各参与方对系统组成有清晰统一认知，确保系统功能完整性与协同性，推动港口自动化设备智能管理系统规范化发展。系统构成包括数据管理、算法模型、决策应用等子系统，具体功能如下：</w:t>
      </w:r>
    </w:p>
    <w:p w14:paraId="7D7985C2">
      <w:pPr>
        <w:pStyle w:val="42"/>
        <w:spacing w:line="360" w:lineRule="auto"/>
        <w:ind w:firstLine="480" w:firstLineChars="200"/>
        <w:rPr>
          <w:rFonts w:hint="eastAsia" w:ascii="宋体" w:hAnsi="宋体" w:cs="宋体"/>
        </w:rPr>
      </w:pPr>
      <w:r>
        <w:rPr>
          <w:rFonts w:hint="eastAsia" w:ascii="宋体" w:hAnsi="宋体" w:cs="宋体"/>
        </w:rPr>
        <w:t>数据管理子系统：数据是智能管理系统核心。该子系统设计为采集设备运行状态、作业操作、部件参数等多源异构数据，确保数据全面性与准确性。支持传感器、设备日志、维修工单等多样化采集方式及多种数据格式接入，以适应港口复杂设备环境。通过确定数据采集频率、进行边缘预处理、选择合适传输网络与存储技术，保障数据质量与传输存储效率。分类编码、质量控制措施则为数据高效管理与分析奠定基础，为系统其他模块提供可靠数据支持。</w:t>
      </w:r>
    </w:p>
    <w:p w14:paraId="3A0D4FC0">
      <w:pPr>
        <w:pStyle w:val="42"/>
        <w:spacing w:line="360" w:lineRule="auto"/>
        <w:ind w:firstLine="480" w:firstLineChars="200"/>
        <w:rPr>
          <w:rFonts w:hint="eastAsia" w:ascii="宋体" w:hAnsi="宋体" w:cs="宋体"/>
        </w:rPr>
      </w:pPr>
      <w:r>
        <w:rPr>
          <w:rFonts w:hint="eastAsia" w:ascii="宋体" w:hAnsi="宋体" w:cs="宋体"/>
        </w:rPr>
        <w:t>算法模型子系统：算法模型是实现系统智能化关键。其设计支持处理文本、图像、视频、传感器等多类型数据，为设备智能化检索问答、运维方案生成提供技术支撑。针对不同自动化设备，设定高设备覆盖率、准确率、可信度及响应速度、并发能力等性能指标，确保算法模型高效性与实用性。采用基于Transformer架构的模型进行预训练，结合数据增强、多种微调策略与强化学习方式优化模型，依据新数据增量训练与用户反馈持续迭代，提升系统整体性能。</w:t>
      </w:r>
    </w:p>
    <w:p w14:paraId="2BB93E5C">
      <w:pPr>
        <w:pStyle w:val="42"/>
        <w:spacing w:line="360" w:lineRule="auto"/>
        <w:ind w:firstLine="480" w:firstLineChars="200"/>
        <w:rPr>
          <w:rFonts w:hint="eastAsia" w:ascii="宋体" w:hAnsi="宋体" w:cs="宋体"/>
        </w:rPr>
      </w:pPr>
      <w:r>
        <w:rPr>
          <w:rFonts w:hint="eastAsia" w:ascii="宋体" w:hAnsi="宋体" w:cs="宋体"/>
        </w:rPr>
        <w:t>决策应用子系统：决策应用子系统将数据管理与算法模型成果转化为实际应用。状态监测功能借助多种技术实时掌握设备运行状态并支持周期设置与环境监测；故障诊断支持多维度检索设备档案、设置故障类型与触发条件，自动关联知识库诊断并推送未知故障；故障预警及时推送信息、设置巡检工单并自动生成；预防性维护计划依监测与隐患数据制定、预测设备维护时间并支持动态调整；故障抢修指挥调度快速生成抢修方案、推荐团队并可视化展示进度；备件智能化管理预测备件需求、生成采购清单；设备隐患排查建议生成清单、评估等级并提供解决方案、联动维护计划、形成闭环管理，全方位保障设备稳定运行。</w:t>
      </w:r>
    </w:p>
    <w:p w14:paraId="7C9A1F71">
      <w:pPr>
        <w:pStyle w:val="42"/>
        <w:spacing w:line="360" w:lineRule="auto"/>
        <w:ind w:firstLine="480" w:firstLineChars="200"/>
        <w:rPr>
          <w:rFonts w:hint="eastAsia" w:ascii="宋体" w:hAnsi="宋体" w:cs="宋体"/>
        </w:rPr>
      </w:pPr>
      <w:r>
        <w:rPr>
          <w:rFonts w:hint="eastAsia" w:ascii="宋体" w:hAnsi="宋体" w:cs="宋体"/>
        </w:rPr>
        <w:t>（2）功能模块配置依据</w:t>
      </w:r>
    </w:p>
    <w:p w14:paraId="3FB531F4">
      <w:pPr>
        <w:pStyle w:val="42"/>
        <w:spacing w:line="360" w:lineRule="auto"/>
        <w:ind w:firstLine="480" w:firstLineChars="200"/>
        <w:rPr>
          <w:rFonts w:hint="eastAsia" w:ascii="宋体" w:hAnsi="宋体" w:cs="宋体"/>
        </w:rPr>
      </w:pPr>
      <w:r>
        <w:rPr>
          <w:rFonts w:hint="eastAsia" w:ascii="宋体" w:hAnsi="宋体" w:cs="宋体"/>
        </w:rPr>
        <w:t>功能模块配置综合考量港口自动化设备管理实际需求、重要性及实现难度。状态监测、故障诊断、故障预警、预防性维护计划、故障抢修调度指挥、备件智能化管理等功能模块标注“√”，为应配置模块。这些功能是设备管理核心环节，直接影响设备运行安全与效率，如故障诊断与预警可提前发现并处理问题，避免设备故障停机；预防性维护计划能合理安排维护工作，延长设备寿命。设备隐患排查建议标注“△”，为宜配置模块，因其依赖较多数据积累与分析技术支持，在部分港口条件成熟时配置，可进一步提升设备管理精细化水平。</w:t>
      </w:r>
    </w:p>
    <w:p w14:paraId="254A39E1">
      <w:pPr>
        <w:numPr>
          <w:ilvl w:val="0"/>
          <w:numId w:val="4"/>
        </w:numPr>
        <w:spacing w:line="360" w:lineRule="auto"/>
        <w:ind w:hanging="5"/>
        <w:rPr>
          <w:rFonts w:hint="eastAsia" w:ascii="宋体" w:hAnsi="宋体" w:cs="宋体"/>
          <w:b/>
          <w:bCs/>
          <w:sz w:val="24"/>
        </w:rPr>
      </w:pPr>
      <w:bookmarkStart w:id="5" w:name="OLE_LINK3"/>
      <w:r>
        <w:rPr>
          <w:rFonts w:hint="eastAsia" w:ascii="宋体" w:hAnsi="宋体" w:cs="宋体"/>
          <w:b/>
          <w:bCs/>
          <w:sz w:val="24"/>
        </w:rPr>
        <w:t>第五章 一般要求</w:t>
      </w:r>
    </w:p>
    <w:bookmarkEnd w:id="5"/>
    <w:p w14:paraId="2B9B3738">
      <w:pPr>
        <w:pStyle w:val="42"/>
        <w:spacing w:line="360" w:lineRule="auto"/>
        <w:ind w:firstLine="480" w:firstLineChars="200"/>
        <w:rPr>
          <w:rFonts w:hint="eastAsia" w:ascii="宋体" w:hAnsi="宋体" w:cs="宋体"/>
        </w:rPr>
      </w:pPr>
      <w:r>
        <w:rPr>
          <w:rFonts w:hint="eastAsia" w:ascii="宋体" w:hAnsi="宋体" w:cs="宋体"/>
        </w:rPr>
        <w:t>本部分“一般要求”旨在为港口自动化设备智能管理系统构建通用、基础的准则，从系统整体性能、功能特性、人机交互及安全可靠性等多维度出发，确保系统满足港口复杂作业环境下的自动化设备管理需求，实现设备高效稳定运行，提升港口运营效率，为后续各专项要求的细化与实施筑牢根基，使系统具备广泛适用性与长远发展潜力。</w:t>
      </w:r>
    </w:p>
    <w:p w14:paraId="7CA227F2">
      <w:pPr>
        <w:pStyle w:val="42"/>
        <w:spacing w:line="360" w:lineRule="auto"/>
        <w:ind w:firstLine="480" w:firstLineChars="200"/>
        <w:rPr>
          <w:rFonts w:hint="eastAsia" w:ascii="宋体" w:hAnsi="宋体" w:cs="宋体"/>
        </w:rPr>
      </w:pPr>
      <w:bookmarkStart w:id="6" w:name="OLE_LINK4"/>
      <w:r>
        <w:rPr>
          <w:rFonts w:hint="eastAsia" w:ascii="宋体" w:hAnsi="宋体" w:cs="宋体"/>
        </w:rPr>
        <w:t>（1）</w:t>
      </w:r>
      <w:bookmarkEnd w:id="6"/>
      <w:r>
        <w:rPr>
          <w:rFonts w:hint="eastAsia" w:ascii="宋体" w:hAnsi="宋体" w:cs="宋体"/>
        </w:rPr>
        <w:t>5.1智能对话交互与结构化呈现</w:t>
      </w:r>
    </w:p>
    <w:p w14:paraId="73E36F7D">
      <w:pPr>
        <w:pStyle w:val="42"/>
        <w:spacing w:line="360" w:lineRule="auto"/>
        <w:ind w:firstLine="480" w:firstLineChars="200"/>
        <w:rPr>
          <w:rFonts w:hint="eastAsia" w:ascii="宋体" w:hAnsi="宋体" w:cs="宋体"/>
        </w:rPr>
      </w:pPr>
      <w:r>
        <w:rPr>
          <w:rFonts w:hint="eastAsia" w:ascii="宋体" w:hAnsi="宋体" w:cs="宋体"/>
        </w:rPr>
        <w:t>本条规定应支持用户与AI系统的多轮智能对话交互，以及包含文本、图表等结构化数据呈现方式。其编制依据如下：</w:t>
      </w:r>
    </w:p>
    <w:p w14:paraId="773902EC">
      <w:pPr>
        <w:pStyle w:val="42"/>
        <w:spacing w:line="360" w:lineRule="auto"/>
        <w:ind w:firstLine="480" w:firstLineChars="200"/>
        <w:rPr>
          <w:rFonts w:hint="eastAsia" w:ascii="宋体" w:hAnsi="宋体" w:cs="宋体"/>
        </w:rPr>
      </w:pPr>
      <w:r>
        <w:rPr>
          <w:rFonts w:hint="eastAsia" w:ascii="宋体" w:hAnsi="宋体" w:cs="宋体"/>
        </w:rPr>
        <w:t>港口自动化设备管理涉及运维人员、调度人员、技术支持人员等多岗位协同，不同人员在设备巡检、故障处置、参数查询等场景中存在多样化交互需求，多轮对话可实现复杂问题的逐步澄清与深入解答。同时，港口设备管理数据包含大量结构化信息（如设备运行参数、故障统计数据），采用折线图、柱状图、表格等图表呈现可直观反映趋势（如某设备近3个月故障率变化）或对比关系（如不同型号设备的维护成本差异），能提升信息传递效率，符合港口快节奏作业中快速获取关键信息的实际需求。</w:t>
      </w:r>
    </w:p>
    <w:p w14:paraId="613202F4">
      <w:pPr>
        <w:pStyle w:val="42"/>
        <w:spacing w:line="360" w:lineRule="auto"/>
        <w:ind w:firstLine="480" w:firstLineChars="200"/>
        <w:rPr>
          <w:rFonts w:hint="eastAsia" w:ascii="宋体" w:hAnsi="宋体" w:cs="宋体"/>
        </w:rPr>
      </w:pPr>
      <w:r>
        <w:rPr>
          <w:rFonts w:hint="eastAsia" w:ascii="宋体" w:hAnsi="宋体" w:cs="宋体"/>
        </w:rPr>
        <w:t>（2）5.2多模态问答支持</w:t>
      </w:r>
    </w:p>
    <w:p w14:paraId="56A84825">
      <w:pPr>
        <w:pStyle w:val="42"/>
        <w:spacing w:line="360" w:lineRule="auto"/>
        <w:ind w:firstLine="480" w:firstLineChars="200"/>
        <w:rPr>
          <w:rFonts w:hint="eastAsia" w:ascii="宋体" w:hAnsi="宋体" w:cs="宋体"/>
        </w:rPr>
      </w:pPr>
      <w:r>
        <w:rPr>
          <w:rFonts w:hint="eastAsia" w:ascii="宋体" w:hAnsi="宋体" w:cs="宋体"/>
        </w:rPr>
        <w:t>本条规定应支持多模态问答，提供显性入口接入对话界面，支持文本提问、语音提问及文档上传提问等交互方式，以及文本、图像、图表等多形式输出。其编制依据如下：</w:t>
      </w:r>
    </w:p>
    <w:p w14:paraId="10E496CD">
      <w:pPr>
        <w:pStyle w:val="42"/>
        <w:spacing w:line="360" w:lineRule="auto"/>
        <w:ind w:firstLine="480" w:firstLineChars="200"/>
        <w:rPr>
          <w:rFonts w:hint="eastAsia" w:ascii="宋体" w:hAnsi="宋体" w:cs="宋体"/>
        </w:rPr>
      </w:pPr>
      <w:r>
        <w:rPr>
          <w:rFonts w:hint="eastAsia" w:ascii="宋体" w:hAnsi="宋体" w:cs="宋体"/>
        </w:rPr>
        <w:t>港口自动化设备管理涉及多类型信息交互，运维人员在现场作业时可能因手持工具、环境噪音等限制，难以通过文本输入提问（如设备机房内操作时），语音提问可实现免手动输入的便捷交互；设备故障诊断常需结合图纸、故障照片等资料，文档上传（如设备手册、故障现场图片）能为AI系统提供更全面的分析依据，提升诊断准确性。同时，输出端需匹配信息类型，如呈现备件库存数据需用表格，文本用于解读分析结论，以满足不同场景下的信息传递需求。</w:t>
      </w:r>
    </w:p>
    <w:p w14:paraId="2C79E468">
      <w:pPr>
        <w:pStyle w:val="42"/>
        <w:spacing w:line="360" w:lineRule="auto"/>
        <w:ind w:firstLine="480" w:firstLineChars="200"/>
        <w:rPr>
          <w:rFonts w:hint="eastAsia" w:ascii="宋体" w:hAnsi="宋体" w:cs="宋体"/>
        </w:rPr>
      </w:pPr>
      <w:r>
        <w:rPr>
          <w:rFonts w:hint="eastAsia" w:ascii="宋体" w:hAnsi="宋体" w:cs="宋体"/>
        </w:rPr>
        <w:t>（3）5.3用户意图识别与API调度能力</w:t>
      </w:r>
    </w:p>
    <w:p w14:paraId="5B3C2A85">
      <w:pPr>
        <w:pStyle w:val="42"/>
        <w:spacing w:line="360" w:lineRule="auto"/>
        <w:ind w:firstLine="480" w:firstLineChars="200"/>
        <w:rPr>
          <w:rFonts w:hint="eastAsia" w:ascii="宋体" w:hAnsi="宋体" w:cs="宋体"/>
        </w:rPr>
      </w:pPr>
      <w:r>
        <w:rPr>
          <w:rFonts w:hint="eastAsia" w:ascii="宋体" w:hAnsi="宋体" w:cs="宋体"/>
        </w:rPr>
        <w:t>本条规定应具备用户意图识别与API调度能力，支持根据对话场景自动调用预设API接口，实现查询结果的自动化展示。其编制依据如下：</w:t>
      </w:r>
    </w:p>
    <w:p w14:paraId="2E3807C2">
      <w:pPr>
        <w:pStyle w:val="42"/>
        <w:spacing w:line="360" w:lineRule="auto"/>
        <w:ind w:firstLine="480" w:firstLineChars="200"/>
        <w:rPr>
          <w:rFonts w:hint="eastAsia" w:ascii="宋体" w:hAnsi="宋体" w:cs="宋体"/>
        </w:rPr>
      </w:pPr>
      <w:r>
        <w:rPr>
          <w:rFonts w:hint="eastAsia" w:ascii="宋体" w:hAnsi="宋体" w:cs="宋体"/>
        </w:rPr>
        <w:t>港口自动化设备管理涉及状态查询、故障报修、参数调取等多维度业务场景，用户提问常隐含深层需求（如“岸桥异常停机原因”可能需联动故障诊断系统与历史记录）。通过用户意图识别，可避免因表述模糊导致的交互低效（如减少“需要哪些信息”的重复询问），确保需求精准匹配系统功能。同时，系统功能模块（如状态监测、备件管理）与数据存储分散在不同逻辑单元，需通过API接口实现数据互通，例如用户查询“某设备近3个月维保记录”时，系统自动调用维保数据库API与时间筛选接口，而非依赖人工手动切换模块，这是提升响应效率的核心手段。</w:t>
      </w:r>
    </w:p>
    <w:p w14:paraId="368E7658">
      <w:pPr>
        <w:pStyle w:val="42"/>
        <w:spacing w:line="360" w:lineRule="auto"/>
        <w:ind w:firstLine="480" w:firstLineChars="200"/>
        <w:rPr>
          <w:rFonts w:hint="eastAsia" w:ascii="宋体" w:hAnsi="宋体" w:cs="宋体"/>
        </w:rPr>
      </w:pPr>
      <w:r>
        <w:rPr>
          <w:rFonts w:hint="eastAsia" w:ascii="宋体" w:hAnsi="宋体" w:cs="宋体"/>
        </w:rPr>
        <w:t>（4）5.4高频问题预设功能</w:t>
      </w:r>
    </w:p>
    <w:p w14:paraId="125ED1C8">
      <w:pPr>
        <w:pStyle w:val="42"/>
        <w:spacing w:line="360" w:lineRule="auto"/>
        <w:ind w:firstLine="480" w:firstLineChars="200"/>
        <w:rPr>
          <w:rFonts w:hint="eastAsia" w:ascii="宋体" w:hAnsi="宋体" w:cs="宋体"/>
        </w:rPr>
      </w:pPr>
      <w:r>
        <w:rPr>
          <w:rFonts w:hint="eastAsia" w:ascii="宋体" w:hAnsi="宋体" w:cs="宋体"/>
        </w:rPr>
        <w:t>本条规定应提供高频问题预设功能，允许用户直接选择预设问题发起查询。其编制依据如下：</w:t>
      </w:r>
    </w:p>
    <w:p w14:paraId="5AA2A7E4">
      <w:pPr>
        <w:pStyle w:val="42"/>
        <w:spacing w:line="360" w:lineRule="auto"/>
        <w:ind w:firstLine="480" w:firstLineChars="200"/>
        <w:rPr>
          <w:rFonts w:hint="eastAsia" w:ascii="宋体" w:hAnsi="宋体" w:cs="宋体"/>
        </w:rPr>
      </w:pPr>
      <w:r>
        <w:rPr>
          <w:rFonts w:hint="eastAsia" w:ascii="宋体" w:hAnsi="宋体" w:cs="宋体"/>
        </w:rPr>
        <w:t>港口自动化设备管理中，运维人员日常操作涉及大量重复性查询（如设备常规参数查询、常见故障处置流程、维保周期确认等）。根据港口设备管理实践，约60%-70%的咨询为高频共性问题（如“岸桥润滑保养周期”“AGV电池更换标准”）。预设高频问题可减少用户重复输入成本，尤其在设备突发故障等紧急场景下，直接选择问题能快速触发查询，缩短响应链路，符合港口作业“高效处置”的核心要求。</w:t>
      </w:r>
    </w:p>
    <w:p w14:paraId="2D0FC58C">
      <w:pPr>
        <w:pStyle w:val="42"/>
        <w:spacing w:line="360" w:lineRule="auto"/>
        <w:ind w:firstLine="480" w:firstLineChars="200"/>
        <w:rPr>
          <w:rFonts w:hint="eastAsia" w:ascii="宋体" w:hAnsi="宋体" w:cs="宋体"/>
        </w:rPr>
      </w:pPr>
      <w:r>
        <w:rPr>
          <w:rFonts w:hint="eastAsia" w:ascii="宋体" w:hAnsi="宋体" w:cs="宋体"/>
        </w:rPr>
        <w:t>（5）5.5回答内容来源追溯</w:t>
      </w:r>
    </w:p>
    <w:p w14:paraId="511A5F07">
      <w:pPr>
        <w:pStyle w:val="42"/>
        <w:spacing w:line="360" w:lineRule="auto"/>
        <w:ind w:firstLine="480" w:firstLineChars="200"/>
        <w:rPr>
          <w:rFonts w:hint="eastAsia" w:ascii="宋体" w:hAnsi="宋体" w:cs="宋体"/>
        </w:rPr>
      </w:pPr>
      <w:r>
        <w:rPr>
          <w:rFonts w:hint="eastAsia" w:ascii="宋体" w:hAnsi="宋体" w:cs="宋体"/>
        </w:rPr>
        <w:t>本条规定应提供回答内容的来源追溯能力，标注引用内容的原始出处。其编制依据如下：</w:t>
      </w:r>
    </w:p>
    <w:p w14:paraId="7BBC8135">
      <w:pPr>
        <w:pStyle w:val="42"/>
        <w:spacing w:line="360" w:lineRule="auto"/>
        <w:ind w:firstLine="480" w:firstLineChars="200"/>
        <w:rPr>
          <w:rFonts w:hint="eastAsia" w:ascii="宋体" w:hAnsi="宋体" w:cs="宋体"/>
        </w:rPr>
      </w:pPr>
      <w:r>
        <w:rPr>
          <w:rFonts w:hint="eastAsia" w:ascii="宋体" w:hAnsi="宋体" w:cs="宋体"/>
        </w:rPr>
        <w:t>港口自动化设备管理涉及复杂的技术参数、操作规程及行业标准（如GB/T42809、GB/T43380等），其决策直接影响设备运行安全与作业效率。回答内容的来源追溯可确保信息的权威性与可验证性，例如在故障诊断建议中，标注引用的设备维修手册版本或专家知识库条目，便于运维人员交叉核对，避免因信息来源不明导致的误判，符合港口作业“精准可靠”的核心要求。</w:t>
      </w:r>
    </w:p>
    <w:p w14:paraId="09B5BD27">
      <w:pPr>
        <w:pStyle w:val="42"/>
        <w:spacing w:line="360" w:lineRule="auto"/>
        <w:ind w:firstLine="480" w:firstLineChars="200"/>
        <w:rPr>
          <w:rFonts w:hint="eastAsia" w:ascii="宋体" w:hAnsi="宋体" w:cs="宋体"/>
        </w:rPr>
      </w:pPr>
      <w:r>
        <w:rPr>
          <w:rFonts w:hint="eastAsia" w:ascii="宋体" w:hAnsi="宋体" w:cs="宋体"/>
        </w:rPr>
        <w:t>（6）5.6对话摘要生成与结构化信息提取</w:t>
      </w:r>
    </w:p>
    <w:p w14:paraId="1C262E0D">
      <w:pPr>
        <w:pStyle w:val="42"/>
        <w:spacing w:line="360" w:lineRule="auto"/>
        <w:ind w:firstLine="480" w:firstLineChars="200"/>
        <w:rPr>
          <w:rFonts w:hint="eastAsia" w:ascii="宋体" w:hAnsi="宋体" w:cs="宋体"/>
        </w:rPr>
      </w:pPr>
      <w:r>
        <w:rPr>
          <w:rFonts w:hint="eastAsia" w:ascii="宋体" w:hAnsi="宋体" w:cs="宋体"/>
        </w:rPr>
        <w:t>本条规定应支持自动生成对话内容摘要，具备工单生成等结构化信息提取能力。其编制依据如下：</w:t>
      </w:r>
    </w:p>
    <w:p w14:paraId="7FC17AFE">
      <w:pPr>
        <w:pStyle w:val="42"/>
        <w:spacing w:line="360" w:lineRule="auto"/>
        <w:ind w:firstLine="480" w:firstLineChars="200"/>
        <w:rPr>
          <w:rFonts w:hint="eastAsia" w:ascii="宋体" w:hAnsi="宋体" w:cs="宋体"/>
        </w:rPr>
      </w:pPr>
      <w:r>
        <w:rPr>
          <w:rFonts w:hint="eastAsia" w:ascii="宋体" w:hAnsi="宋体" w:cs="宋体"/>
        </w:rPr>
        <w:t>港口自动化设备管理涉及多轮复杂对话（如故障描述、参数查询、方案讨论等），对话内容往往包含大量细节信息。自动生成对话摘要可提炼核心要点（如故障现象、处理建议、待办事项），帮助运维人员快速复盘沟通内容，避免信息遗漏，尤其在运维团队与技术支持远程协作等多岗位协同场景中，能提升信息传递效率。同时，港口设备故障处置、维护计划执行等业务需以工单形式落地（如故障抢修工单、预防性维护工单）。系统具备结构化信息提取能力，可从对话中自动抓取关键要素（如故障设备型号、故障位置、处理优先级、执行人等）生成标准化工单，减少人工录入环节，符合港口作业“快速响应、流程规范”的核心要求。</w:t>
      </w:r>
    </w:p>
    <w:p w14:paraId="3C984D0C">
      <w:pPr>
        <w:pStyle w:val="42"/>
        <w:spacing w:line="360" w:lineRule="auto"/>
        <w:ind w:firstLine="480" w:firstLineChars="200"/>
        <w:rPr>
          <w:rFonts w:hint="eastAsia" w:ascii="宋体" w:hAnsi="宋体" w:cs="宋体"/>
        </w:rPr>
      </w:pPr>
      <w:r>
        <w:rPr>
          <w:rFonts w:hint="eastAsia" w:ascii="宋体" w:hAnsi="宋体" w:cs="宋体"/>
        </w:rPr>
        <w:t>（7）5.7知识库自动化补充与更新</w:t>
      </w:r>
    </w:p>
    <w:p w14:paraId="39D0990E">
      <w:pPr>
        <w:pStyle w:val="42"/>
        <w:spacing w:line="360" w:lineRule="auto"/>
        <w:ind w:firstLine="480" w:firstLineChars="200"/>
        <w:rPr>
          <w:rFonts w:hint="eastAsia" w:ascii="宋体" w:hAnsi="宋体" w:cs="宋体"/>
        </w:rPr>
      </w:pPr>
      <w:r>
        <w:rPr>
          <w:rFonts w:hint="eastAsia" w:ascii="宋体" w:hAnsi="宋体" w:cs="宋体"/>
        </w:rPr>
        <w:t>本条规定应定期分析对话记录生成新知识条目，实现知识库的自动化补充与更新。其编制依据如下：</w:t>
      </w:r>
    </w:p>
    <w:p w14:paraId="128C83CF">
      <w:pPr>
        <w:pStyle w:val="42"/>
        <w:spacing w:line="360" w:lineRule="auto"/>
        <w:ind w:firstLine="480" w:firstLineChars="200"/>
        <w:rPr>
          <w:rFonts w:hint="eastAsia" w:ascii="宋体" w:hAnsi="宋体" w:cs="宋体"/>
        </w:rPr>
      </w:pPr>
      <w:r>
        <w:rPr>
          <w:rFonts w:hint="eastAsia" w:ascii="宋体" w:hAnsi="宋体" w:cs="宋体"/>
        </w:rPr>
        <w:t>港口自动化设备管理面临持续变化的内外部环境。设备技术更新换代加速，如新型节能驱动系统、智能传感器在港口设备的应用，带来新的操作规范与维护要点；作业流程随业务拓展、管理优化不断调整，如港口引入新的装卸工艺，涉及设备协同作业知识；且外部行业标准（如GB/T42809、GB/T43380等）持续更新，要求港口设备管理知识与之同步。定期分析对话记录生成新知识，能捕捉设备运行新问题、总结故障新案例、提炼优化后作业流程，及时补充至知识库，确保知识时效性，契合港口设备管理动态发展需求。</w:t>
      </w:r>
    </w:p>
    <w:p w14:paraId="33A947E2">
      <w:pPr>
        <w:pStyle w:val="42"/>
        <w:spacing w:line="360" w:lineRule="auto"/>
        <w:ind w:firstLine="480" w:firstLineChars="200"/>
        <w:rPr>
          <w:rFonts w:hint="eastAsia" w:ascii="宋体" w:hAnsi="宋体" w:cs="宋体"/>
        </w:rPr>
      </w:pPr>
      <w:r>
        <w:rPr>
          <w:rFonts w:hint="eastAsia" w:ascii="宋体" w:hAnsi="宋体" w:cs="宋体"/>
        </w:rPr>
        <w:t>（8）5.8现场维保经验文档管理</w:t>
      </w:r>
    </w:p>
    <w:p w14:paraId="00377EF9">
      <w:pPr>
        <w:pStyle w:val="42"/>
        <w:spacing w:line="360" w:lineRule="auto"/>
        <w:ind w:firstLine="480" w:firstLineChars="200"/>
        <w:rPr>
          <w:rFonts w:hint="eastAsia" w:ascii="宋体" w:hAnsi="宋体" w:cs="宋体"/>
        </w:rPr>
      </w:pPr>
      <w:r>
        <w:rPr>
          <w:rFonts w:hint="eastAsia" w:ascii="宋体" w:hAnsi="宋体" w:cs="宋体"/>
        </w:rPr>
        <w:t>本条规定应支持设备运维人员上传现场维保经验文档，系统自动审核并补充至专家知识库，对新录入知识进行版本管理，保留知识迭代历史记录。其编制依据如下：</w:t>
      </w:r>
    </w:p>
    <w:p w14:paraId="6C0ED013">
      <w:pPr>
        <w:pStyle w:val="42"/>
        <w:spacing w:line="360" w:lineRule="auto"/>
        <w:ind w:firstLine="480" w:firstLineChars="200"/>
        <w:rPr>
          <w:rFonts w:hint="eastAsia" w:ascii="宋体" w:hAnsi="宋体" w:cs="宋体"/>
        </w:rPr>
      </w:pPr>
      <w:r>
        <w:rPr>
          <w:rFonts w:hint="eastAsia" w:ascii="宋体" w:hAnsi="宋体" w:cs="宋体"/>
        </w:rPr>
        <w:t>港口自动化设备种类繁多（如集装箱岸边起重机、堆料机等），且不同设备在实际运行中受工况、环境等因素影响，易产生具有现场特异性的故障与维保经验（如特定气候条件下的设备润滑周期调整、高频作业场景下的部件损耗规律等）。设备运维人员的现场维保经验文档是对理论规程的重要补充，直接反映一线实践智慧。支持此类文档上传并纳入专家知识库，可弥补标准化手册与实际操作之间的差距，提升系统对复杂场景的适配能力，符合港口设备管理“理论与实践结合”的核心需求。</w:t>
      </w:r>
    </w:p>
    <w:p w14:paraId="0F515CE5">
      <w:pPr>
        <w:pStyle w:val="42"/>
        <w:spacing w:line="360" w:lineRule="auto"/>
        <w:ind w:firstLine="480" w:firstLineChars="200"/>
        <w:rPr>
          <w:rFonts w:hint="eastAsia" w:ascii="宋体" w:hAnsi="宋体" w:cs="宋体"/>
        </w:rPr>
      </w:pPr>
      <w:r>
        <w:rPr>
          <w:rFonts w:hint="eastAsia" w:ascii="宋体" w:hAnsi="宋体" w:cs="宋体"/>
        </w:rPr>
        <w:t>（9）5.9信息物理系统特征要求</w:t>
      </w:r>
    </w:p>
    <w:p w14:paraId="3F6585F2">
      <w:pPr>
        <w:pStyle w:val="42"/>
        <w:spacing w:line="360" w:lineRule="auto"/>
        <w:ind w:firstLine="480" w:firstLineChars="200"/>
        <w:rPr>
          <w:rFonts w:hint="eastAsia" w:ascii="宋体" w:hAnsi="宋体" w:cs="宋体"/>
        </w:rPr>
      </w:pPr>
      <w:r>
        <w:rPr>
          <w:rFonts w:hint="eastAsia" w:ascii="宋体" w:hAnsi="宋体" w:cs="宋体"/>
        </w:rPr>
        <w:t>本条规定应具备信息物理系统特征，符合GB/T42809和GB/T43380的相关要求。其编制依据如下：</w:t>
      </w:r>
    </w:p>
    <w:p w14:paraId="34D07D11">
      <w:pPr>
        <w:pStyle w:val="42"/>
        <w:spacing w:line="360" w:lineRule="auto"/>
        <w:ind w:firstLine="480" w:firstLineChars="200"/>
        <w:rPr>
          <w:rFonts w:hint="eastAsia" w:ascii="宋体" w:hAnsi="宋体" w:cs="宋体"/>
        </w:rPr>
      </w:pPr>
      <w:r>
        <w:rPr>
          <w:rFonts w:hint="eastAsia" w:ascii="宋体" w:hAnsi="宋体" w:cs="宋体"/>
        </w:rPr>
        <w:t>在当下港口智能化转型进程中，信息物理系统（CPS）成为关键技术支撑。CPS通过深度融合计算、通信与控制技术，将港口物理世界中的设备（如集装箱起重机、自动导引车）、作业环境与信息世界的数字模型、数据处理及决策系统紧密相连，实现港口作业流程的全面优化与智能管控。从行业趋势看，国内外先进港口（如鹿特丹港、上海洋山港四期）已积极应用CPS技术，提升作业效率与设备管理水平，推动港口向“智慧化”进阶，本条顺应这一发展潮流，确保港口自动化设备智能管理系统紧跟前沿技术趋势。</w:t>
      </w:r>
    </w:p>
    <w:p w14:paraId="3D5ABB16">
      <w:pPr>
        <w:pStyle w:val="42"/>
        <w:spacing w:line="360" w:lineRule="auto"/>
        <w:ind w:firstLine="480" w:firstLineChars="200"/>
        <w:rPr>
          <w:rFonts w:hint="eastAsia" w:ascii="宋体" w:hAnsi="宋体" w:cs="宋体"/>
        </w:rPr>
      </w:pPr>
      <w:r>
        <w:rPr>
          <w:rFonts w:hint="eastAsia" w:ascii="宋体" w:hAnsi="宋体" w:cs="宋体"/>
        </w:rPr>
        <w:t>（10）5.10系统基础运行要求</w:t>
      </w:r>
    </w:p>
    <w:p w14:paraId="5CC80086">
      <w:pPr>
        <w:pStyle w:val="42"/>
        <w:spacing w:line="360" w:lineRule="auto"/>
        <w:ind w:firstLine="480" w:firstLineChars="200"/>
        <w:rPr>
          <w:rFonts w:hint="eastAsia" w:ascii="宋体" w:hAnsi="宋体" w:cs="宋体"/>
        </w:rPr>
      </w:pPr>
      <w:r>
        <w:rPr>
          <w:rFonts w:hint="eastAsia" w:ascii="宋体" w:hAnsi="宋体" w:cs="宋体"/>
        </w:rPr>
        <w:t>本条规定系统的所有应用场景应满足服务稳定性、故障恢复及安全运行等基础要求，即除计划性维护外确保正常访问的持续性，非基础设施故障的MTTR不大于60min，支持7×24h持续服务。其编制依据如下：</w:t>
      </w:r>
    </w:p>
    <w:p w14:paraId="7FC90418">
      <w:pPr>
        <w:pStyle w:val="42"/>
        <w:spacing w:line="360" w:lineRule="auto"/>
        <w:ind w:firstLine="480" w:firstLineChars="200"/>
        <w:rPr>
          <w:rFonts w:hint="eastAsia" w:ascii="宋体" w:hAnsi="宋体" w:cs="宋体"/>
        </w:rPr>
      </w:pPr>
      <w:r>
        <w:rPr>
          <w:rFonts w:hint="eastAsia" w:ascii="宋体" w:hAnsi="宋体" w:cs="宋体"/>
        </w:rPr>
        <w:t>本条与规范性引用文件中GB/T22239（网络安全等级保护）、GB/T37934（工业控制网络安全）的要求相呼应，服务稳定性与安全运行要求（7×24h持续服务）需依托网络安全防护措施实现，避免因网络攻击、恶意入侵导致的非计划性中断；故障恢复时限（MTTR≤60min）则与工业控制系统对故障响应速度的通用标准一致，确保系统在工业级环境中具备可信赖的应急处理能力。</w:t>
      </w:r>
    </w:p>
    <w:p w14:paraId="5DAF10BE">
      <w:pPr>
        <w:pStyle w:val="42"/>
        <w:spacing w:line="360" w:lineRule="auto"/>
        <w:ind w:firstLine="480" w:firstLineChars="200"/>
        <w:rPr>
          <w:rFonts w:hint="eastAsia" w:ascii="宋体" w:hAnsi="宋体" w:cs="宋体"/>
        </w:rPr>
      </w:pPr>
      <w:r>
        <w:rPr>
          <w:rFonts w:hint="eastAsia" w:ascii="宋体" w:hAnsi="宋体" w:cs="宋体"/>
        </w:rPr>
        <w:t>（11）5.11设备知识服务性能要求</w:t>
      </w:r>
    </w:p>
    <w:p w14:paraId="202224F6">
      <w:pPr>
        <w:pStyle w:val="42"/>
        <w:spacing w:line="360" w:lineRule="auto"/>
        <w:ind w:firstLine="480" w:firstLineChars="200"/>
        <w:rPr>
          <w:rFonts w:hint="eastAsia" w:ascii="宋体" w:hAnsi="宋体" w:cs="宋体"/>
        </w:rPr>
      </w:pPr>
      <w:r>
        <w:rPr>
          <w:rFonts w:hint="eastAsia" w:ascii="宋体" w:hAnsi="宋体" w:cs="宋体"/>
        </w:rPr>
        <w:t>本条规定设备知识服务包括设备参数检索、维保规程查询、故障诊断支持及维修方案生成，其性能指标要求应符合表2的规定。其编制依据如下：</w:t>
      </w:r>
    </w:p>
    <w:p w14:paraId="58F0C656">
      <w:pPr>
        <w:pStyle w:val="42"/>
        <w:spacing w:line="360" w:lineRule="auto"/>
        <w:ind w:firstLine="480" w:firstLineChars="200"/>
        <w:rPr>
          <w:rFonts w:hint="eastAsia" w:ascii="宋体" w:hAnsi="宋体" w:cs="宋体"/>
        </w:rPr>
      </w:pPr>
      <w:r>
        <w:rPr>
          <w:rFonts w:hint="eastAsia" w:ascii="宋体" w:hAnsi="宋体" w:cs="宋体"/>
        </w:rPr>
        <w:t>设备知识服务与“故障诊断”“预防性维护计划”“故障抢修调度指挥”等功能模块紧密联动，设备参数检索为故障诊断提供基础数据支撑（如对比实际运行参数与额定参数判断异常）；维保规程查询是预防性维护计划制定的依据（确保计划符合标准流程）；维修方案生成则直接服务于故障抢修，其准确率与响应速度影响抢修效率。表2中对文本回答准确率、首响应延迟、并发能力的规定，为这些功能模块的协同运作提供了性能基准，确保数据传递与决策支持的高效性。港口设备运维具有高时效性要求（如故障抢修需快速获取方案），首响应延迟≤20s可避免因等待时间过长导致的作业停滞；并发能力≥20TPS则适配多岗位同时操作场景（如多个运维班组同时查询不同设备信息），确保系统在高峰期稳定运行。同时，按服务类型区分准确率要求（参数/规程类≥85%、诊断/方案类≥80%），既考虑到结构化数据查询的高精度需求，也兼顾了故障诊断等复杂场景中因不确定性导致的合理误差，符合实际应用规律。</w:t>
      </w:r>
    </w:p>
    <w:p w14:paraId="27F5AA55">
      <w:pPr>
        <w:pStyle w:val="42"/>
        <w:spacing w:line="360" w:lineRule="auto"/>
        <w:ind w:firstLine="480" w:firstLineChars="200"/>
        <w:rPr>
          <w:rFonts w:hint="eastAsia" w:ascii="宋体" w:hAnsi="宋体" w:cs="宋体"/>
        </w:rPr>
      </w:pPr>
      <w:r>
        <w:rPr>
          <w:rFonts w:hint="eastAsia" w:ascii="宋体" w:hAnsi="宋体" w:cs="宋体"/>
        </w:rPr>
        <w:t>（12）5.12知识管理服务性能要求</w:t>
      </w:r>
    </w:p>
    <w:p w14:paraId="16945799">
      <w:pPr>
        <w:pStyle w:val="42"/>
        <w:spacing w:line="360" w:lineRule="auto"/>
        <w:ind w:firstLine="480" w:firstLineChars="200"/>
        <w:rPr>
          <w:rFonts w:hint="eastAsia" w:ascii="宋体" w:hAnsi="宋体" w:cs="宋体"/>
        </w:rPr>
      </w:pPr>
      <w:r>
        <w:rPr>
          <w:rFonts w:hint="eastAsia" w:ascii="宋体" w:hAnsi="宋体" w:cs="宋体"/>
        </w:rPr>
        <w:t>本条规定知识管理服务包括结构化知识检索、非结构化文档解析和多模态知识呈现，其性能指标要求应符合表3的规定。其编制依据如下：</w:t>
      </w:r>
    </w:p>
    <w:p w14:paraId="53F13E74">
      <w:pPr>
        <w:pStyle w:val="42"/>
        <w:spacing w:line="360" w:lineRule="auto"/>
        <w:ind w:firstLine="480" w:firstLineChars="200"/>
        <w:rPr>
          <w:rFonts w:hint="eastAsia" w:ascii="宋体" w:hAnsi="宋体" w:cs="宋体"/>
        </w:rPr>
      </w:pPr>
      <w:r>
        <w:rPr>
          <w:rFonts w:hint="eastAsia" w:ascii="宋体" w:hAnsi="宋体" w:cs="宋体"/>
        </w:rPr>
        <w:t>知识管理服务是港口自动化设备智能管理系统实现智能化决策与高效运维的基础支撑。结构化知识（如设备参数、备件库存等）是系统精准响应基础查询的关键，非结构化文档（如设备手册、维修案例等）包含大量隐性经验知识，多模态知识（文本、图像、图表等）则适配不同场景下的信息传递需求。三者共同构成系统知识体系，其性能直接影响设备管理的准确性与效率，需通过明确指标确保服务质量。其中：</w:t>
      </w:r>
    </w:p>
    <w:p w14:paraId="68F5D8FB">
      <w:pPr>
        <w:pStyle w:val="42"/>
        <w:numPr>
          <w:ilvl w:val="0"/>
          <w:numId w:val="5"/>
        </w:numPr>
        <w:spacing w:line="360" w:lineRule="auto"/>
        <w:ind w:left="0" w:firstLine="481"/>
        <w:rPr>
          <w:rFonts w:hint="eastAsia" w:ascii="宋体" w:hAnsi="宋体" w:cs="宋体"/>
        </w:rPr>
      </w:pPr>
      <w:r>
        <w:rPr>
          <w:rFonts w:hint="eastAsia" w:ascii="宋体" w:hAnsi="宋体" w:cs="宋体"/>
        </w:rPr>
        <w:t>结构化知识检索依托数据库实现，数据格式规范、逻辑清晰，用户对其准确性要求高（如设备额定参数、维保周期等），因此设定检索准确率≥85%，以满足参数查询、规程核对等场景的可靠性需求；</w:t>
      </w:r>
    </w:p>
    <w:p w14:paraId="3A920427">
      <w:pPr>
        <w:pStyle w:val="42"/>
        <w:numPr>
          <w:ilvl w:val="0"/>
          <w:numId w:val="5"/>
        </w:numPr>
        <w:spacing w:line="360" w:lineRule="auto"/>
        <w:ind w:left="0" w:firstLine="481"/>
        <w:rPr>
          <w:rFonts w:hint="eastAsia" w:ascii="宋体" w:hAnsi="宋体" w:cs="宋体"/>
        </w:rPr>
      </w:pPr>
      <w:r>
        <w:rPr>
          <w:rFonts w:hint="eastAsia" w:ascii="宋体" w:hAnsi="宋体" w:cs="宋体"/>
        </w:rPr>
        <w:t>非结构化文档解析涉及手册、报告等格式灵活的内容，解析过程需处理格式差异、语义歧义等问题，80%的解析准确率要求既考虑了技术实现难度，又能保障核心信息的有效提取（如故障处理步骤、注意事项等）；</w:t>
      </w:r>
    </w:p>
    <w:p w14:paraId="0EB62663">
      <w:pPr>
        <w:pStyle w:val="42"/>
        <w:numPr>
          <w:ilvl w:val="0"/>
          <w:numId w:val="5"/>
        </w:numPr>
        <w:spacing w:line="360" w:lineRule="auto"/>
        <w:ind w:left="0" w:firstLine="481"/>
        <w:rPr>
          <w:rFonts w:hint="eastAsia" w:ascii="宋体" w:hAnsi="宋体" w:cs="宋体"/>
        </w:rPr>
      </w:pPr>
      <w:r>
        <w:rPr>
          <w:rFonts w:hint="eastAsia" w:ascii="宋体" w:hAnsi="宋体" w:cs="宋体"/>
        </w:rPr>
        <w:t>多模态知识呈现需匹配不同知识类型的展示特点（如用图表呈现数据趋势、用图像标注故障位置），文档处理时效（≤3min/2万字文档）和首响应延迟（≤15s/基础问答）的规定，可确保用户快速获取并理解信息，适配港口作业高效性要求。</w:t>
      </w:r>
    </w:p>
    <w:p w14:paraId="7CEB4BC0">
      <w:pPr>
        <w:pStyle w:val="42"/>
        <w:spacing w:line="360" w:lineRule="auto"/>
        <w:ind w:firstLine="480" w:firstLineChars="200"/>
        <w:rPr>
          <w:rFonts w:hint="eastAsia" w:ascii="宋体" w:hAnsi="宋体" w:cs="宋体"/>
        </w:rPr>
      </w:pPr>
      <w:r>
        <w:rPr>
          <w:rFonts w:hint="eastAsia" w:ascii="宋体" w:hAnsi="宋体" w:cs="宋体"/>
        </w:rPr>
        <w:t>（13）5.13智能交互服务性能要求</w:t>
      </w:r>
    </w:p>
    <w:p w14:paraId="69C5EFE5">
      <w:pPr>
        <w:pStyle w:val="42"/>
        <w:spacing w:line="360" w:lineRule="auto"/>
        <w:ind w:firstLine="480" w:firstLineChars="200"/>
        <w:rPr>
          <w:rFonts w:hint="eastAsia" w:ascii="宋体" w:hAnsi="宋体" w:cs="宋体"/>
        </w:rPr>
      </w:pPr>
      <w:r>
        <w:rPr>
          <w:rFonts w:hint="eastAsia" w:ascii="宋体" w:hAnsi="宋体" w:cs="宋体"/>
        </w:rPr>
        <w:t>本条规定智能交互服务包括业务流程咨询、操作指引提供和异常问题处置，其性能指标要求应符合表4的规定。其编制依据如下：</w:t>
      </w:r>
    </w:p>
    <w:p w14:paraId="69911ACD">
      <w:pPr>
        <w:pStyle w:val="42"/>
        <w:spacing w:line="360" w:lineRule="auto"/>
        <w:ind w:firstLine="480" w:firstLineChars="200"/>
        <w:rPr>
          <w:rFonts w:hint="eastAsia" w:ascii="宋体" w:hAnsi="宋体" w:cs="宋体"/>
        </w:rPr>
      </w:pPr>
      <w:r>
        <w:rPr>
          <w:rFonts w:hint="eastAsia" w:ascii="宋体" w:hAnsi="宋体" w:cs="宋体"/>
        </w:rPr>
        <w:t>智能交互服务是连接系统与用户的核心纽带，直接影响港口设备管理的操作效率与问题处置能力。业务流程咨询覆盖设备运维全流程（如报修流程、维护审批环节），需确保用户快速获取规范指引；操作指引提供针对设备操作细节（如传感器校准步骤、系统参数配置），是保障操作规范性的关键；异常问题处置则聚焦突发状况（如设备报警代码解读、临时故障应急处理），直接关系故障响应速度。三者共同构成用户与系统的高效交互通道，其性能指标需匹配港口作业“快速响应、规范操作”的核心需求。其中：</w:t>
      </w:r>
    </w:p>
    <w:p w14:paraId="7EBE18EA">
      <w:pPr>
        <w:pStyle w:val="42"/>
        <w:numPr>
          <w:ilvl w:val="0"/>
          <w:numId w:val="5"/>
        </w:numPr>
        <w:spacing w:line="360" w:lineRule="auto"/>
        <w:ind w:left="0" w:firstLine="481"/>
        <w:rPr>
          <w:rFonts w:hint="eastAsia" w:ascii="宋体" w:hAnsi="宋体" w:cs="宋体"/>
        </w:rPr>
      </w:pPr>
      <w:r>
        <w:rPr>
          <w:rFonts w:hint="eastAsia" w:ascii="宋体" w:hAnsi="宋体" w:cs="宋体"/>
        </w:rPr>
        <w:t>意图识别率≥85%：港口设备管理业务流程复杂（如不同设备的维保流程存在差异），用户提问可能包含模糊表述（如“怎么报故障”未明确设备类型），高意图识别率可减少交互冗余，确保系统精准理解需求，适配多场景下的多样化提问方式；</w:t>
      </w:r>
    </w:p>
    <w:p w14:paraId="5DCEBF2B">
      <w:pPr>
        <w:pStyle w:val="42"/>
        <w:numPr>
          <w:ilvl w:val="0"/>
          <w:numId w:val="5"/>
        </w:numPr>
        <w:spacing w:line="360" w:lineRule="auto"/>
        <w:ind w:left="0" w:firstLine="481"/>
        <w:rPr>
          <w:rFonts w:hint="eastAsia" w:ascii="宋体" w:hAnsi="宋体" w:cs="宋体"/>
        </w:rPr>
      </w:pPr>
      <w:r>
        <w:rPr>
          <w:rFonts w:hint="eastAsia" w:ascii="宋体" w:hAnsi="宋体" w:cs="宋体"/>
        </w:rPr>
        <w:t>应答准确率≥90%（标准流程类、结构化文档）：标准流程（如备件申领流程）和结构化文档（如设备操作手册）是交互服务的基础依据，其信息相对固定、规范，高准确率要求可保障用户获取的指引具有权威性，避免因信息错误导致操作失误；</w:t>
      </w:r>
    </w:p>
    <w:p w14:paraId="5F88BFB1">
      <w:pPr>
        <w:pStyle w:val="42"/>
        <w:numPr>
          <w:ilvl w:val="0"/>
          <w:numId w:val="5"/>
        </w:numPr>
        <w:spacing w:line="360" w:lineRule="auto"/>
        <w:ind w:left="0" w:firstLine="481"/>
        <w:rPr>
          <w:rFonts w:hint="eastAsia" w:ascii="宋体" w:hAnsi="宋体" w:cs="宋体"/>
        </w:rPr>
      </w:pPr>
      <w:r>
        <w:rPr>
          <w:rFonts w:hint="eastAsia" w:ascii="宋体" w:hAnsi="宋体" w:cs="宋体"/>
        </w:rPr>
        <w:t>API响应延迟≤10s：智能交互常需调用后端API接口（如查询实时流程进度、调取操作规范文档），短延迟可确保用户快速获得反馈，尤其在紧急场景（如异常问题处置）中，避免因等待影响决策效率；</w:t>
      </w:r>
    </w:p>
    <w:p w14:paraId="1C2ED8CC">
      <w:pPr>
        <w:pStyle w:val="42"/>
        <w:numPr>
          <w:ilvl w:val="0"/>
          <w:numId w:val="5"/>
        </w:numPr>
        <w:spacing w:line="360" w:lineRule="auto"/>
        <w:ind w:left="0" w:firstLine="481"/>
        <w:rPr>
          <w:rFonts w:hint="eastAsia" w:ascii="宋体" w:hAnsi="宋体" w:cs="宋体"/>
        </w:rPr>
      </w:pPr>
      <w:r>
        <w:rPr>
          <w:rFonts w:hint="eastAsia" w:ascii="宋体" w:hAnsi="宋体" w:cs="宋体"/>
        </w:rPr>
        <w:t>高并发延迟≥50TPS：港口作业高峰期可能出现多用户同时交互（如多个运维班组同时咨询不同设备的操作问题），高并发能力可保障系统在负载压力下的稳定响应，符合“一般要求”中服务稳定性的基础标准。</w:t>
      </w:r>
    </w:p>
    <w:p w14:paraId="4C3FC860">
      <w:pPr>
        <w:spacing w:line="360" w:lineRule="auto"/>
        <w:ind w:firstLine="480" w:firstLineChars="200"/>
        <w:rPr>
          <w:rFonts w:hint="eastAsia" w:ascii="宋体" w:hAnsi="宋体" w:cs="宋体"/>
          <w:b/>
          <w:bCs/>
          <w:sz w:val="24"/>
        </w:rPr>
      </w:pPr>
      <w:r>
        <w:rPr>
          <w:rFonts w:hint="eastAsia" w:ascii="宋体" w:hAnsi="宋体" w:cs="宋体"/>
          <w:b/>
          <w:bCs/>
          <w:sz w:val="24"/>
        </w:rPr>
        <w:t>7.第六章 功能要求</w:t>
      </w:r>
    </w:p>
    <w:p w14:paraId="45F6E28B">
      <w:pPr>
        <w:pStyle w:val="42"/>
        <w:spacing w:line="360" w:lineRule="auto"/>
        <w:ind w:firstLine="480" w:firstLineChars="200"/>
        <w:rPr>
          <w:rFonts w:hint="eastAsia" w:ascii="宋体" w:hAnsi="宋体" w:cs="宋体"/>
        </w:rPr>
      </w:pPr>
      <w:r>
        <w:rPr>
          <w:rFonts w:hint="eastAsia" w:ascii="宋体" w:hAnsi="宋体" w:cs="宋体"/>
        </w:rPr>
        <w:t>（1）6.1状态监测</w:t>
      </w:r>
    </w:p>
    <w:p w14:paraId="2B5DB5E8">
      <w:pPr>
        <w:pStyle w:val="42"/>
        <w:spacing w:line="360" w:lineRule="auto"/>
        <w:ind w:firstLine="480" w:firstLineChars="200"/>
        <w:rPr>
          <w:rFonts w:hint="eastAsia" w:ascii="宋体" w:hAnsi="宋体" w:cs="宋体"/>
        </w:rPr>
      </w:pPr>
      <w:r>
        <w:rPr>
          <w:rFonts w:hint="eastAsia" w:ascii="宋体" w:hAnsi="宋体" w:cs="宋体"/>
        </w:rPr>
        <w:t>本条规定了系统在状态监测方面的要求，包括技术应用、监测周期设置及环境监测等内容。其编制依据如下：</w:t>
      </w:r>
    </w:p>
    <w:p w14:paraId="45183CBA">
      <w:pPr>
        <w:pStyle w:val="42"/>
        <w:numPr>
          <w:ilvl w:val="0"/>
          <w:numId w:val="5"/>
        </w:numPr>
        <w:spacing w:line="360" w:lineRule="auto"/>
        <w:ind w:left="0" w:firstLine="481"/>
        <w:rPr>
          <w:rFonts w:hint="eastAsia" w:ascii="宋体" w:hAnsi="宋体" w:cs="宋体"/>
        </w:rPr>
      </w:pPr>
      <w:r>
        <w:rPr>
          <w:rFonts w:hint="eastAsia" w:ascii="宋体" w:hAnsi="宋体" w:cs="宋体"/>
        </w:rPr>
        <w:t>港口自动化设备（如岸边集装箱起重机、堆料机等）结构复杂、作业强度大，运行状态的实时掌握是保障其安全稳定运行的基础。分布式光纤传感技术可实现对设备结构应变的监测，红外测温技术能精准捕捉电气部件的温度变化，摄像头识别技术与激光雷达技术可辅助监测设备运行轨迹及空间位置关系，通过这些技术的综合应用，能够全面采集设备电流、电压、运行速率、振动、声音等关键参数，为后续的故障诊断与预警提供数据支撑；</w:t>
      </w:r>
    </w:p>
    <w:p w14:paraId="4DDE954B">
      <w:pPr>
        <w:pStyle w:val="42"/>
        <w:numPr>
          <w:ilvl w:val="0"/>
          <w:numId w:val="5"/>
        </w:numPr>
        <w:spacing w:line="360" w:lineRule="auto"/>
        <w:ind w:left="0" w:firstLine="481"/>
        <w:rPr>
          <w:rFonts w:hint="eastAsia" w:ascii="宋体" w:hAnsi="宋体" w:cs="宋体"/>
        </w:rPr>
      </w:pPr>
      <w:r>
        <w:rPr>
          <w:rFonts w:hint="eastAsia" w:ascii="宋体" w:hAnsi="宋体" w:cs="宋体"/>
        </w:rPr>
        <w:t>不同设备及设备的不同部件在运行过程中的损耗规律与故障风险存在差异，支持设置监测周期（如对高损耗部件缩短监测周期），可在保证监测效果的前提下，优化系统资源配置，避免数据冗余；</w:t>
      </w:r>
    </w:p>
    <w:p w14:paraId="6F124366">
      <w:pPr>
        <w:pStyle w:val="42"/>
        <w:numPr>
          <w:ilvl w:val="0"/>
          <w:numId w:val="5"/>
        </w:numPr>
        <w:spacing w:line="360" w:lineRule="auto"/>
        <w:ind w:left="0" w:firstLine="481"/>
        <w:rPr>
          <w:rFonts w:hint="eastAsia" w:ascii="宋体" w:hAnsi="宋体" w:cs="宋体"/>
        </w:rPr>
      </w:pPr>
      <w:r>
        <w:rPr>
          <w:rFonts w:hint="eastAsia" w:ascii="宋体" w:hAnsi="宋体" w:cs="宋体"/>
        </w:rPr>
        <w:t>港口设备的运行状态受环境影响显著（如高温高湿环境易加速设备老化），对设备周围环境的温度、湿度等参数进行监测，能够更全面地评估设备运行条件，为设备维护提供更精准的依据。</w:t>
      </w:r>
    </w:p>
    <w:p w14:paraId="2AB08223">
      <w:pPr>
        <w:pStyle w:val="42"/>
        <w:spacing w:line="360" w:lineRule="auto"/>
        <w:ind w:firstLine="480" w:firstLineChars="200"/>
        <w:rPr>
          <w:rFonts w:hint="eastAsia" w:ascii="宋体" w:hAnsi="宋体" w:cs="宋体"/>
        </w:rPr>
      </w:pPr>
      <w:r>
        <w:rPr>
          <w:rFonts w:hint="eastAsia" w:ascii="宋体" w:hAnsi="宋体" w:cs="宋体"/>
        </w:rPr>
        <w:t>（2）6.2故障诊断</w:t>
      </w:r>
    </w:p>
    <w:p w14:paraId="507D49B6">
      <w:pPr>
        <w:pStyle w:val="42"/>
        <w:spacing w:line="360" w:lineRule="auto"/>
        <w:ind w:firstLine="480" w:firstLineChars="200"/>
        <w:rPr>
          <w:rFonts w:hint="eastAsia" w:ascii="宋体" w:hAnsi="宋体" w:cs="宋体"/>
        </w:rPr>
      </w:pPr>
      <w:r>
        <w:rPr>
          <w:rFonts w:hint="eastAsia" w:ascii="宋体" w:hAnsi="宋体" w:cs="宋体"/>
        </w:rPr>
        <w:t>本条明确了系统故障诊断的各项要求，涵盖电子档案检索、故障类型设置、知识库关联、未知故障处理等方面。其编制依据如下：</w:t>
      </w:r>
    </w:p>
    <w:p w14:paraId="7181B284">
      <w:pPr>
        <w:pStyle w:val="42"/>
        <w:numPr>
          <w:ilvl w:val="0"/>
          <w:numId w:val="5"/>
        </w:numPr>
        <w:spacing w:line="360" w:lineRule="auto"/>
        <w:ind w:left="0" w:firstLine="481"/>
        <w:rPr>
          <w:rFonts w:hint="eastAsia" w:ascii="宋体" w:hAnsi="宋体" w:cs="宋体"/>
        </w:rPr>
      </w:pPr>
      <w:r>
        <w:rPr>
          <w:rFonts w:hint="eastAsia" w:ascii="宋体" w:hAnsi="宋体" w:cs="宋体"/>
        </w:rPr>
        <w:t>港口设备型号多样、参数复杂，用户通过设备型号、运行参数等多维度条件检索电子档案，可快速定位目标设备的基础信息，为故障诊断提供初始参考；</w:t>
      </w:r>
    </w:p>
    <w:p w14:paraId="17AA6545">
      <w:pPr>
        <w:pStyle w:val="42"/>
        <w:numPr>
          <w:ilvl w:val="0"/>
          <w:numId w:val="5"/>
        </w:numPr>
        <w:spacing w:line="360" w:lineRule="auto"/>
        <w:ind w:left="0" w:firstLine="481"/>
        <w:rPr>
          <w:rFonts w:hint="eastAsia" w:ascii="宋体" w:hAnsi="宋体" w:cs="宋体"/>
        </w:rPr>
      </w:pPr>
      <w:r>
        <w:rPr>
          <w:rFonts w:hint="eastAsia" w:ascii="宋体" w:hAnsi="宋体" w:cs="宋体"/>
        </w:rPr>
        <w:t>港口设备故障类型繁多，按机械、电气、软件等类别设置故障类型及触发条件（如电机振动超标触发机械故障预警），可使故障诊断更具针对性，提高诊断效率；</w:t>
      </w:r>
    </w:p>
    <w:p w14:paraId="7EFBD085">
      <w:pPr>
        <w:pStyle w:val="42"/>
        <w:numPr>
          <w:ilvl w:val="0"/>
          <w:numId w:val="5"/>
        </w:numPr>
        <w:spacing w:line="360" w:lineRule="auto"/>
        <w:ind w:left="0" w:firstLine="481"/>
        <w:rPr>
          <w:rFonts w:hint="eastAsia" w:ascii="宋体" w:hAnsi="宋体" w:cs="宋体"/>
        </w:rPr>
      </w:pPr>
      <w:r>
        <w:rPr>
          <w:rFonts w:hint="eastAsia" w:ascii="宋体" w:hAnsi="宋体" w:cs="宋体"/>
        </w:rPr>
        <w:t>设备档案包含设备的基础参数与历史数据，专家知识库则积累了大量故障处理经验，二者关联可实现故障案例的快速匹配，通过展示历史故障案例及解决方案，辅助运维人员快速制定处置策略；</w:t>
      </w:r>
    </w:p>
    <w:p w14:paraId="1D7B70F6">
      <w:pPr>
        <w:pStyle w:val="42"/>
        <w:numPr>
          <w:ilvl w:val="0"/>
          <w:numId w:val="5"/>
        </w:numPr>
        <w:spacing w:line="360" w:lineRule="auto"/>
        <w:ind w:left="0" w:firstLine="481"/>
        <w:rPr>
          <w:rFonts w:hint="eastAsia" w:ascii="宋体" w:hAnsi="宋体" w:cs="宋体"/>
        </w:rPr>
      </w:pPr>
      <w:r>
        <w:rPr>
          <w:rFonts w:hint="eastAsia" w:ascii="宋体" w:hAnsi="宋体" w:cs="宋体"/>
        </w:rPr>
        <w:t>港口设备在长期运行中可能出现未知故障（如新型设备的特有故障），支持兼容未知故障类型并及时推送提示信息，可确保运维人员快速介入，避免故障扩大化。</w:t>
      </w:r>
    </w:p>
    <w:p w14:paraId="23A93D8C">
      <w:pPr>
        <w:pStyle w:val="42"/>
        <w:spacing w:line="360" w:lineRule="auto"/>
        <w:ind w:firstLine="480" w:firstLineChars="200"/>
        <w:rPr>
          <w:rFonts w:hint="eastAsia" w:ascii="宋体" w:hAnsi="宋体" w:cs="宋体"/>
        </w:rPr>
      </w:pPr>
      <w:r>
        <w:rPr>
          <w:rFonts w:hint="eastAsia" w:ascii="宋体" w:hAnsi="宋体" w:cs="宋体"/>
        </w:rPr>
        <w:t>（3）6.3故障预警</w:t>
      </w:r>
    </w:p>
    <w:p w14:paraId="2EAAF5D5">
      <w:pPr>
        <w:pStyle w:val="42"/>
        <w:spacing w:line="360" w:lineRule="auto"/>
        <w:ind w:firstLine="480" w:firstLineChars="200"/>
        <w:rPr>
          <w:rFonts w:hint="eastAsia" w:ascii="宋体" w:hAnsi="宋体" w:cs="宋体"/>
        </w:rPr>
      </w:pPr>
      <w:r>
        <w:rPr>
          <w:rFonts w:hint="eastAsia" w:ascii="宋体" w:hAnsi="宋体" w:cs="宋体"/>
        </w:rPr>
        <w:t>本条对系统故障预警的功能提出要求，包括预警信息推送、巡检工单设置及自动生成等内容。其编制依据如下：</w:t>
      </w:r>
    </w:p>
    <w:p w14:paraId="6FA5BB47">
      <w:pPr>
        <w:pStyle w:val="42"/>
        <w:numPr>
          <w:ilvl w:val="0"/>
          <w:numId w:val="5"/>
        </w:numPr>
        <w:spacing w:line="360" w:lineRule="auto"/>
        <w:ind w:left="0" w:firstLine="481"/>
        <w:rPr>
          <w:rFonts w:hint="eastAsia" w:ascii="宋体" w:hAnsi="宋体" w:cs="宋体"/>
        </w:rPr>
      </w:pPr>
      <w:r>
        <w:rPr>
          <w:rFonts w:hint="eastAsia" w:ascii="宋体" w:hAnsi="宋体" w:cs="宋体"/>
        </w:rPr>
        <w:t>故障预警的核心目标是及时发现潜在风险并通知相关人员处置，通过APP、短信、电话等多种形式推送预警信息，可确保运维人员在不同场景下（如现场作业、非工作时间）都能及时接收信息，缩短响应时间；</w:t>
      </w:r>
    </w:p>
    <w:p w14:paraId="440E76E6">
      <w:pPr>
        <w:pStyle w:val="42"/>
        <w:numPr>
          <w:ilvl w:val="0"/>
          <w:numId w:val="5"/>
        </w:numPr>
        <w:spacing w:line="360" w:lineRule="auto"/>
        <w:ind w:left="0" w:firstLine="481"/>
        <w:rPr>
          <w:rFonts w:hint="eastAsia" w:ascii="宋体" w:hAnsi="宋体" w:cs="宋体"/>
        </w:rPr>
      </w:pPr>
      <w:r>
        <w:rPr>
          <w:rFonts w:hint="eastAsia" w:ascii="宋体" w:hAnsi="宋体" w:cs="宋体"/>
        </w:rPr>
        <w:t>不同故障预警对应的风险等级不同，支持设置巡检工单及触发条件（如预警等级为“高”时自动触发紧急巡检），可使巡检工作更具针对性，避免盲目巡检造成的资源浪费；</w:t>
      </w:r>
    </w:p>
    <w:p w14:paraId="79F422CD">
      <w:pPr>
        <w:pStyle w:val="42"/>
        <w:numPr>
          <w:ilvl w:val="0"/>
          <w:numId w:val="5"/>
        </w:numPr>
        <w:spacing w:line="360" w:lineRule="auto"/>
        <w:ind w:left="0" w:firstLine="481"/>
        <w:rPr>
          <w:rFonts w:hint="eastAsia" w:ascii="宋体" w:hAnsi="宋体" w:cs="宋体"/>
        </w:rPr>
      </w:pPr>
      <w:r>
        <w:rPr>
          <w:rFonts w:hint="eastAsia" w:ascii="宋体" w:hAnsi="宋体" w:cs="宋体"/>
        </w:rPr>
        <w:t>自动生成巡检工单能够减少人工干预，确保工单信息的准确性与及时性，同时实现巡检工作的规范化管理，为后续的隐患排查与处理提供可追溯的记录。</w:t>
      </w:r>
    </w:p>
    <w:p w14:paraId="25E81D18">
      <w:pPr>
        <w:pStyle w:val="42"/>
        <w:spacing w:line="360" w:lineRule="auto"/>
        <w:ind w:firstLine="480" w:firstLineChars="200"/>
        <w:rPr>
          <w:rFonts w:hint="eastAsia" w:ascii="宋体" w:hAnsi="宋体" w:cs="宋体"/>
        </w:rPr>
      </w:pPr>
      <w:r>
        <w:rPr>
          <w:rFonts w:hint="eastAsia" w:ascii="宋体" w:hAnsi="宋体" w:cs="宋体"/>
        </w:rPr>
        <w:t>（4）6.4预防性维护计划</w:t>
      </w:r>
    </w:p>
    <w:p w14:paraId="54B0D6B1">
      <w:pPr>
        <w:pStyle w:val="42"/>
        <w:spacing w:line="360" w:lineRule="auto"/>
        <w:ind w:firstLine="480" w:firstLineChars="200"/>
        <w:rPr>
          <w:rFonts w:hint="eastAsia" w:ascii="宋体" w:hAnsi="宋体" w:cs="宋体"/>
        </w:rPr>
      </w:pPr>
      <w:r>
        <w:rPr>
          <w:rFonts w:hint="eastAsia" w:ascii="宋体" w:hAnsi="宋体" w:cs="宋体"/>
        </w:rPr>
        <w:t>本条规定了系统在预防性维护计划方面的要求，包括计划设置、预测功能、远程查看及动态调整等。其编制依据如下：</w:t>
      </w:r>
    </w:p>
    <w:p w14:paraId="1F292E40">
      <w:pPr>
        <w:pStyle w:val="42"/>
        <w:numPr>
          <w:ilvl w:val="0"/>
          <w:numId w:val="5"/>
        </w:numPr>
        <w:spacing w:line="360" w:lineRule="auto"/>
        <w:ind w:left="0" w:firstLine="481"/>
        <w:rPr>
          <w:rFonts w:hint="eastAsia" w:ascii="宋体" w:hAnsi="宋体" w:cs="宋体"/>
        </w:rPr>
      </w:pPr>
      <w:r>
        <w:rPr>
          <w:rFonts w:hint="eastAsia" w:ascii="宋体" w:hAnsi="宋体" w:cs="宋体"/>
        </w:rPr>
        <w:t>预防性维护的核心是基于设备状态提前规划维护工作，结合状态监测数据（如设备运行参数趋势）、故障数据（如历史故障频率）设置维护计划，可避免过度维护或维护不足，延长设备使用寿命；</w:t>
      </w:r>
    </w:p>
    <w:p w14:paraId="09E020F3">
      <w:pPr>
        <w:pStyle w:val="42"/>
        <w:numPr>
          <w:ilvl w:val="0"/>
          <w:numId w:val="5"/>
        </w:numPr>
        <w:spacing w:line="360" w:lineRule="auto"/>
        <w:ind w:left="0" w:firstLine="481"/>
        <w:rPr>
          <w:rFonts w:hint="eastAsia" w:ascii="宋体" w:hAnsi="宋体" w:cs="宋体"/>
        </w:rPr>
      </w:pPr>
      <w:r>
        <w:rPr>
          <w:rFonts w:hint="eastAsia" w:ascii="宋体" w:hAnsi="宋体" w:cs="宋体"/>
        </w:rPr>
        <w:t>对设备使用寿命、保养时间、备件更换时间等进行预测，能帮助港口提前规划资源（如储备备件、安排维护人员），减少因突发故障导致的作业中断；</w:t>
      </w:r>
    </w:p>
    <w:p w14:paraId="765CB9A1">
      <w:pPr>
        <w:pStyle w:val="42"/>
        <w:numPr>
          <w:ilvl w:val="0"/>
          <w:numId w:val="5"/>
        </w:numPr>
        <w:spacing w:line="360" w:lineRule="auto"/>
        <w:ind w:left="0" w:firstLine="481"/>
        <w:rPr>
          <w:rFonts w:hint="eastAsia" w:ascii="宋体" w:hAnsi="宋体" w:cs="宋体"/>
        </w:rPr>
      </w:pPr>
      <w:r>
        <w:rPr>
          <w:rFonts w:hint="eastAsia" w:ascii="宋体" w:hAnsi="宋体" w:cs="宋体"/>
        </w:rPr>
        <w:t>港口设备分布范围广，运维人员需在不同区域作业，支持远程查看或确认维护信息，可提高工作灵活性与协同效率；</w:t>
      </w:r>
    </w:p>
    <w:p w14:paraId="5E4A4DE6">
      <w:pPr>
        <w:pStyle w:val="42"/>
        <w:numPr>
          <w:ilvl w:val="0"/>
          <w:numId w:val="5"/>
        </w:numPr>
        <w:spacing w:line="360" w:lineRule="auto"/>
        <w:ind w:left="0" w:firstLine="481"/>
        <w:rPr>
          <w:rFonts w:hint="eastAsia" w:ascii="宋体" w:hAnsi="宋体" w:cs="宋体"/>
        </w:rPr>
      </w:pPr>
      <w:r>
        <w:rPr>
          <w:rFonts w:hint="eastAsia" w:ascii="宋体" w:hAnsi="宋体" w:cs="宋体"/>
        </w:rPr>
        <w:t>设备运行状态与隐患排查结果是动态变化的，根据物联网平台实时数据及隐患建议自动修订维护计划，可确保计划的时效性与合理性，实现维护工作的动态优化。</w:t>
      </w:r>
    </w:p>
    <w:p w14:paraId="639B467F">
      <w:pPr>
        <w:pStyle w:val="42"/>
        <w:spacing w:line="360" w:lineRule="auto"/>
        <w:ind w:firstLine="480" w:firstLineChars="200"/>
        <w:rPr>
          <w:rFonts w:hint="eastAsia" w:ascii="宋体" w:hAnsi="宋体" w:cs="宋体"/>
        </w:rPr>
      </w:pPr>
      <w:r>
        <w:rPr>
          <w:rFonts w:hint="eastAsia" w:ascii="宋体" w:hAnsi="宋体" w:cs="宋体"/>
        </w:rPr>
        <w:t>（5）6.5故障抢修指挥调度</w:t>
      </w:r>
    </w:p>
    <w:p w14:paraId="56EC5D16">
      <w:pPr>
        <w:pStyle w:val="42"/>
        <w:spacing w:line="360" w:lineRule="auto"/>
        <w:ind w:firstLine="480" w:firstLineChars="200"/>
        <w:rPr>
          <w:rFonts w:hint="eastAsia" w:ascii="宋体" w:hAnsi="宋体" w:cs="宋体"/>
        </w:rPr>
      </w:pPr>
      <w:r>
        <w:rPr>
          <w:rFonts w:hint="eastAsia" w:ascii="宋体" w:hAnsi="宋体" w:cs="宋体"/>
        </w:rPr>
        <w:t>本条明确了系统在故障抢修指挥调度方面的要求，包括抢修方案生成与可视化展示等内容。</w:t>
      </w:r>
      <w:bookmarkStart w:id="7" w:name="_Hlk205537857"/>
      <w:r>
        <w:rPr>
          <w:rFonts w:hint="eastAsia" w:ascii="宋体" w:hAnsi="宋体" w:cs="宋体"/>
        </w:rPr>
        <w:t>其编制依据如下：</w:t>
      </w:r>
    </w:p>
    <w:bookmarkEnd w:id="7"/>
    <w:p w14:paraId="44BC04DC">
      <w:pPr>
        <w:pStyle w:val="42"/>
        <w:numPr>
          <w:ilvl w:val="0"/>
          <w:numId w:val="5"/>
        </w:numPr>
        <w:spacing w:line="360" w:lineRule="auto"/>
        <w:ind w:left="0" w:firstLine="481"/>
        <w:rPr>
          <w:rFonts w:hint="eastAsia" w:ascii="宋体" w:hAnsi="宋体" w:cs="宋体"/>
        </w:rPr>
      </w:pPr>
      <w:r>
        <w:rPr>
          <w:rFonts w:hint="eastAsia" w:ascii="宋体" w:hAnsi="宋体" w:cs="宋体"/>
        </w:rPr>
        <w:t>港口设备故障抢修具有高时效性要求，接收报修信息后，自动匹配专家知识库生成抢修方案（如参考同类故障的处理流程），并根据抢修团队的技能匹配度、地理位置等因素推荐最优团队，可大幅缩短抢修准备时间，提高抢修效率；</w:t>
      </w:r>
    </w:p>
    <w:p w14:paraId="7C134D07">
      <w:pPr>
        <w:pStyle w:val="42"/>
        <w:numPr>
          <w:ilvl w:val="0"/>
          <w:numId w:val="5"/>
        </w:numPr>
        <w:spacing w:line="360" w:lineRule="auto"/>
        <w:ind w:left="0" w:firstLine="481"/>
        <w:rPr>
          <w:rFonts w:hint="eastAsia" w:ascii="宋体" w:hAnsi="宋体" w:cs="宋体"/>
        </w:rPr>
      </w:pPr>
      <w:r>
        <w:rPr>
          <w:rFonts w:hint="eastAsia" w:ascii="宋体" w:hAnsi="宋体" w:cs="宋体"/>
        </w:rPr>
        <w:t>故障设备位置、抢修进度及资源调配情况的可视化展示（如通过电子地图与进度看板），能帮助指挥人员实时掌握抢修动态，及时协调资源（如调配备件、增派人员），确保抢修工作有序推进。</w:t>
      </w:r>
    </w:p>
    <w:p w14:paraId="0B7EEEF8">
      <w:pPr>
        <w:pStyle w:val="42"/>
        <w:spacing w:line="360" w:lineRule="auto"/>
        <w:ind w:firstLine="480" w:firstLineChars="200"/>
        <w:rPr>
          <w:rFonts w:hint="eastAsia" w:ascii="宋体" w:hAnsi="宋体" w:cs="宋体"/>
        </w:rPr>
      </w:pPr>
      <w:r>
        <w:rPr>
          <w:rFonts w:hint="eastAsia" w:ascii="宋体" w:hAnsi="宋体" w:cs="宋体"/>
        </w:rPr>
        <w:t>（6）6.6备件智能化管理</w:t>
      </w:r>
    </w:p>
    <w:p w14:paraId="1FA26973">
      <w:pPr>
        <w:pStyle w:val="42"/>
        <w:spacing w:line="360" w:lineRule="auto"/>
        <w:ind w:firstLine="480" w:firstLineChars="200"/>
        <w:rPr>
          <w:rFonts w:hint="eastAsia" w:ascii="宋体" w:hAnsi="宋体" w:cs="宋体"/>
        </w:rPr>
      </w:pPr>
      <w:r>
        <w:rPr>
          <w:rFonts w:hint="eastAsia" w:ascii="宋体" w:hAnsi="宋体" w:cs="宋体"/>
        </w:rPr>
        <w:t>本条对系统备件智能化管理的功能提出要求，包括需求预测与采购建议等内容。其编制依据如下：</w:t>
      </w:r>
    </w:p>
    <w:p w14:paraId="34B433F3">
      <w:pPr>
        <w:pStyle w:val="42"/>
        <w:numPr>
          <w:ilvl w:val="0"/>
          <w:numId w:val="5"/>
        </w:numPr>
        <w:spacing w:line="360" w:lineRule="auto"/>
        <w:ind w:left="0" w:firstLine="481"/>
        <w:rPr>
          <w:rFonts w:hint="eastAsia" w:ascii="宋体" w:hAnsi="宋体" w:cs="宋体"/>
        </w:rPr>
      </w:pPr>
      <w:r>
        <w:rPr>
          <w:rFonts w:hint="eastAsia" w:ascii="宋体" w:hAnsi="宋体" w:cs="宋体"/>
        </w:rPr>
        <w:t>港口备件种类繁多、库存成本高，结合工单信息（如近期维修需求）、备件历史消耗数据（如季度消耗规律）及设备运营状况（如设备老化程度）预测备件需求，可实现“按需储备”，减少库存积压与短缺风险；;</w:t>
      </w:r>
    </w:p>
    <w:p w14:paraId="0039BC96">
      <w:pPr>
        <w:pStyle w:val="42"/>
        <w:numPr>
          <w:ilvl w:val="0"/>
          <w:numId w:val="5"/>
        </w:numPr>
        <w:spacing w:line="360" w:lineRule="auto"/>
        <w:ind w:left="0" w:firstLine="481"/>
        <w:rPr>
          <w:rFonts w:hint="eastAsia" w:ascii="宋体" w:hAnsi="宋体" w:cs="宋体"/>
        </w:rPr>
      </w:pPr>
      <w:r>
        <w:rPr>
          <w:rFonts w:hint="eastAsia" w:ascii="宋体" w:hAnsi="宋体" w:cs="宋体"/>
        </w:rPr>
        <w:t>输出备件采购优先级清单（如关键设备的核心备件优先采购），并联动企业供应链系统生成采购建议，能实现备件管理与采购流程的无缝衔接，提高供应链响应速度，保障设备维护的备件供应。</w:t>
      </w:r>
    </w:p>
    <w:p w14:paraId="420468A9">
      <w:pPr>
        <w:pStyle w:val="42"/>
        <w:spacing w:line="360" w:lineRule="auto"/>
        <w:ind w:left="481"/>
        <w:rPr>
          <w:rFonts w:hint="eastAsia" w:ascii="宋体" w:hAnsi="宋体" w:cs="宋体"/>
        </w:rPr>
      </w:pPr>
      <w:r>
        <w:rPr>
          <w:rFonts w:hint="eastAsia" w:ascii="宋体" w:hAnsi="宋体" w:cs="宋体"/>
        </w:rPr>
        <w:t>（7）6.7设备隐患排查建议</w:t>
      </w:r>
    </w:p>
    <w:p w14:paraId="3E2FEEA4">
      <w:pPr>
        <w:pStyle w:val="42"/>
        <w:spacing w:line="360" w:lineRule="auto"/>
        <w:ind w:firstLine="480" w:firstLineChars="200"/>
        <w:rPr>
          <w:rFonts w:hint="eastAsia" w:ascii="宋体" w:hAnsi="宋体" w:cs="宋体"/>
        </w:rPr>
      </w:pPr>
      <w:r>
        <w:rPr>
          <w:rFonts w:hint="eastAsia" w:ascii="宋体" w:hAnsi="宋体" w:cs="宋体"/>
        </w:rPr>
        <w:t>本条规定了系统在设备隐患排查建议方面的要求，包括排查清单生成、隐患评估、计划联动及闭环管理等。其编制依据如下：</w:t>
      </w:r>
    </w:p>
    <w:p w14:paraId="4FE2EA3C">
      <w:pPr>
        <w:pStyle w:val="42"/>
        <w:numPr>
          <w:ilvl w:val="0"/>
          <w:numId w:val="5"/>
        </w:numPr>
        <w:spacing w:line="360" w:lineRule="auto"/>
        <w:ind w:left="0" w:firstLine="481"/>
        <w:rPr>
          <w:rFonts w:hint="eastAsia" w:ascii="宋体" w:hAnsi="宋体" w:cs="宋体"/>
        </w:rPr>
      </w:pPr>
      <w:r>
        <w:rPr>
          <w:rFonts w:hint="eastAsia" w:ascii="宋体" w:hAnsi="宋体" w:cs="宋体"/>
        </w:rPr>
        <w:t>不同类型设备的隐患点存在差异（如起重机的吊具与皮带机的滚筒），结合设备电子档案与专家知识库生成专项隐患排查清单，明确检查重点与方法，可提高隐患排查的针对性与全面性；</w:t>
      </w:r>
    </w:p>
    <w:p w14:paraId="4F40E5C6">
      <w:pPr>
        <w:pStyle w:val="42"/>
        <w:numPr>
          <w:ilvl w:val="0"/>
          <w:numId w:val="5"/>
        </w:numPr>
        <w:spacing w:line="360" w:lineRule="auto"/>
        <w:ind w:left="0" w:firstLine="481"/>
        <w:rPr>
          <w:rFonts w:hint="eastAsia" w:ascii="宋体" w:hAnsi="宋体" w:cs="宋体"/>
        </w:rPr>
      </w:pPr>
      <w:r>
        <w:rPr>
          <w:rFonts w:hint="eastAsia" w:ascii="宋体" w:hAnsi="宋体" w:cs="宋体"/>
        </w:rPr>
        <w:t>对隐患进行等级评估（一般隐患、重大隐患）并关联历史处置案例，提供具体解决方案，能帮助运维人员快速判断隐患风险，制定有效的整改措施，避免隐患升级为故障；</w:t>
      </w:r>
    </w:p>
    <w:p w14:paraId="07BBBEF1">
      <w:pPr>
        <w:pStyle w:val="42"/>
        <w:numPr>
          <w:ilvl w:val="0"/>
          <w:numId w:val="5"/>
        </w:numPr>
        <w:spacing w:line="360" w:lineRule="auto"/>
        <w:ind w:left="0" w:firstLine="481"/>
        <w:rPr>
          <w:rFonts w:hint="eastAsia" w:ascii="宋体" w:hAnsi="宋体" w:cs="宋体"/>
        </w:rPr>
      </w:pPr>
      <w:r>
        <w:rPr>
          <w:rFonts w:hint="eastAsia" w:ascii="宋体" w:hAnsi="宋体" w:cs="宋体"/>
        </w:rPr>
        <w:t>隐患达到预设阈值时自动触发维护计划调整（如重大隐患提前维护），可实现隐患处置与维护工作的联动，确保隐患及时得到处理；</w:t>
      </w:r>
    </w:p>
    <w:p w14:paraId="4898C724">
      <w:pPr>
        <w:pStyle w:val="42"/>
        <w:numPr>
          <w:ilvl w:val="0"/>
          <w:numId w:val="5"/>
        </w:numPr>
        <w:spacing w:line="360" w:lineRule="auto"/>
        <w:ind w:left="0" w:firstLine="481"/>
        <w:rPr>
          <w:rFonts w:hint="eastAsia" w:ascii="宋体" w:hAnsi="宋体" w:cs="宋体"/>
        </w:rPr>
      </w:pPr>
      <w:r>
        <w:rPr>
          <w:rFonts w:hint="eastAsia" w:ascii="宋体" w:hAnsi="宋体" w:cs="宋体"/>
        </w:rPr>
        <w:t>保留隐患排查记录与整改跟踪信息，形成闭环管理，既能为后续的隐患分析提供数据支持，也能确保整改工作落实到位，持续提升设备安全水平。</w:t>
      </w:r>
    </w:p>
    <w:p w14:paraId="281C94A2">
      <w:pPr>
        <w:spacing w:line="360" w:lineRule="auto"/>
        <w:ind w:firstLine="480" w:firstLineChars="200"/>
        <w:rPr>
          <w:rFonts w:hint="eastAsia" w:ascii="宋体" w:hAnsi="宋体" w:cs="宋体"/>
          <w:b/>
          <w:bCs/>
          <w:sz w:val="24"/>
        </w:rPr>
      </w:pPr>
      <w:r>
        <w:rPr>
          <w:rFonts w:hint="eastAsia" w:ascii="宋体" w:hAnsi="宋体" w:cs="宋体"/>
          <w:b/>
          <w:bCs/>
          <w:sz w:val="24"/>
        </w:rPr>
        <w:t>8. 第七章 数据管理</w:t>
      </w:r>
    </w:p>
    <w:p w14:paraId="6B7EDB8C">
      <w:pPr>
        <w:pStyle w:val="42"/>
        <w:spacing w:line="360" w:lineRule="auto"/>
        <w:ind w:firstLine="480" w:firstLineChars="200"/>
        <w:rPr>
          <w:rFonts w:hint="eastAsia" w:ascii="宋体" w:hAnsi="宋体" w:cs="宋体"/>
        </w:rPr>
      </w:pPr>
      <w:bookmarkStart w:id="8" w:name="OLE_LINK1"/>
      <w:r>
        <w:rPr>
          <w:rFonts w:hint="eastAsia" w:ascii="宋体" w:hAnsi="宋体" w:cs="宋体"/>
        </w:rPr>
        <w:t>（1）</w:t>
      </w:r>
      <w:bookmarkEnd w:id="8"/>
      <w:r>
        <w:rPr>
          <w:rFonts w:hint="eastAsia" w:ascii="宋体" w:hAnsi="宋体" w:cs="宋体"/>
        </w:rPr>
        <w:t>7.1数据采集处理</w:t>
      </w:r>
    </w:p>
    <w:p w14:paraId="7CB97BBF">
      <w:pPr>
        <w:pStyle w:val="42"/>
        <w:spacing w:line="360" w:lineRule="auto"/>
        <w:ind w:firstLine="480" w:firstLineChars="200"/>
        <w:rPr>
          <w:rFonts w:hint="eastAsia" w:ascii="宋体" w:hAnsi="宋体" w:cs="宋体"/>
        </w:rPr>
      </w:pPr>
      <w:r>
        <w:rPr>
          <w:rFonts w:hint="eastAsia" w:ascii="宋体" w:hAnsi="宋体" w:cs="宋体"/>
        </w:rPr>
        <w:t>① 7.1.1数据采集</w:t>
      </w:r>
    </w:p>
    <w:p w14:paraId="72CD522F">
      <w:pPr>
        <w:pStyle w:val="42"/>
        <w:spacing w:line="360" w:lineRule="auto"/>
        <w:ind w:firstLine="480" w:firstLineChars="200"/>
        <w:rPr>
          <w:rFonts w:hint="eastAsia" w:ascii="宋体" w:hAnsi="宋体" w:cs="宋体"/>
        </w:rPr>
      </w:pPr>
      <w:r>
        <w:rPr>
          <w:rFonts w:hint="eastAsia" w:ascii="宋体" w:hAnsi="宋体" w:cs="宋体"/>
        </w:rPr>
        <w:t>本条规定了系统数据采集的核心要求，包括数据范围、采集方式、格式支持、频率设置及边缘预处理等。其编制依据如下：</w:t>
      </w:r>
    </w:p>
    <w:p w14:paraId="49D6C265">
      <w:pPr>
        <w:pStyle w:val="42"/>
        <w:numPr>
          <w:ilvl w:val="0"/>
          <w:numId w:val="5"/>
        </w:numPr>
        <w:spacing w:line="360" w:lineRule="auto"/>
        <w:ind w:left="0" w:firstLine="481"/>
        <w:rPr>
          <w:rFonts w:hint="eastAsia" w:ascii="宋体" w:hAnsi="宋体" w:cs="宋体"/>
        </w:rPr>
      </w:pPr>
      <w:r>
        <w:rPr>
          <w:rFonts w:hint="eastAsia" w:ascii="宋体" w:hAnsi="宋体" w:cs="宋体"/>
        </w:rPr>
        <w:t>港口自动化设备管理涉及设备全生命周期的各类数据（运行状态、作业记录、故障信息等），多源异构数据的全面采集是实现状态监测、故障诊断等功能的基础。例如，设备运行参数反映实时状态，维修保养记录支撑历史分析，只有覆盖这些数据，才能构建完整的设备管理数据链。</w:t>
      </w:r>
    </w:p>
    <w:p w14:paraId="4EEC7721">
      <w:pPr>
        <w:pStyle w:val="42"/>
        <w:numPr>
          <w:ilvl w:val="0"/>
          <w:numId w:val="5"/>
        </w:numPr>
        <w:spacing w:line="360" w:lineRule="auto"/>
        <w:ind w:left="0" w:firstLine="481"/>
        <w:rPr>
          <w:rFonts w:hint="eastAsia" w:ascii="宋体" w:hAnsi="宋体" w:cs="宋体"/>
        </w:rPr>
      </w:pPr>
      <w:r>
        <w:rPr>
          <w:rFonts w:hint="eastAsia" w:ascii="宋体" w:hAnsi="宋体" w:cs="宋体"/>
        </w:rPr>
        <w:t>港口设备类型多样（如岸桥、AGV、堆料机等），数据产生方式不同（传感器实时输出、人工录入维修记录、视频监控画面等），因此需支持传感器、日志、工单、摄像头等多样化采集方式，确保各类数据无遗漏；</w:t>
      </w:r>
    </w:p>
    <w:p w14:paraId="60A3100B">
      <w:pPr>
        <w:pStyle w:val="42"/>
        <w:numPr>
          <w:ilvl w:val="0"/>
          <w:numId w:val="5"/>
        </w:numPr>
        <w:spacing w:line="360" w:lineRule="auto"/>
        <w:ind w:left="0" w:firstLine="481"/>
        <w:rPr>
          <w:rFonts w:hint="eastAsia" w:ascii="宋体" w:hAnsi="宋体" w:cs="宋体"/>
        </w:rPr>
      </w:pPr>
      <w:r>
        <w:rPr>
          <w:rFonts w:hint="eastAsia" w:ascii="宋体" w:hAnsi="宋体" w:cs="宋体"/>
        </w:rPr>
        <w:t>不同设备与系统输出的数据格式存在差异（如传感器数据常用CSV，设备手册多为PDF，配置文件可能为XML），支持多种格式接入可实现数据的无缝集成，避免因格式不兼容导致的数据丢失；</w:t>
      </w:r>
    </w:p>
    <w:p w14:paraId="6AAB54C7">
      <w:pPr>
        <w:pStyle w:val="42"/>
        <w:numPr>
          <w:ilvl w:val="0"/>
          <w:numId w:val="5"/>
        </w:numPr>
        <w:spacing w:line="360" w:lineRule="auto"/>
        <w:ind w:left="0" w:firstLine="481"/>
        <w:rPr>
          <w:rFonts w:hint="eastAsia" w:ascii="宋体" w:hAnsi="宋体" w:cs="宋体"/>
        </w:rPr>
      </w:pPr>
      <w:r>
        <w:rPr>
          <w:rFonts w:hint="eastAsia" w:ascii="宋体" w:hAnsi="宋体" w:cs="宋体"/>
        </w:rPr>
        <w:t>设备关键参数（如电机振动、电压）需高频采集以捕捉细微变化，而环境参数（如湿度）可低频采集以减少资源消耗，因此需根据设备特性与应用需求动态调整采集频率，平衡数据有效性与系统负载；</w:t>
      </w:r>
    </w:p>
    <w:p w14:paraId="49E04DE1">
      <w:pPr>
        <w:pStyle w:val="42"/>
        <w:numPr>
          <w:ilvl w:val="0"/>
          <w:numId w:val="5"/>
        </w:numPr>
        <w:spacing w:line="360" w:lineRule="auto"/>
        <w:ind w:left="0" w:firstLine="481"/>
        <w:rPr>
          <w:rFonts w:hint="eastAsia" w:ascii="宋体" w:hAnsi="宋体" w:cs="宋体"/>
        </w:rPr>
      </w:pPr>
      <w:r>
        <w:rPr>
          <w:rFonts w:hint="eastAsia" w:ascii="宋体" w:hAnsi="宋体" w:cs="宋体"/>
        </w:rPr>
        <w:t>港口设备分布广泛，边缘预处理（清洗噪声数据、压缩冗余信息）可减少传输带宽占用，降低中心服务器处理压力，提升数据处理效率，尤其适用于远程或网络不稳定的场景。</w:t>
      </w:r>
    </w:p>
    <w:p w14:paraId="3D1886AE">
      <w:pPr>
        <w:pStyle w:val="42"/>
        <w:spacing w:line="360" w:lineRule="auto"/>
        <w:ind w:firstLine="480" w:firstLineChars="200"/>
        <w:rPr>
          <w:rFonts w:hint="eastAsia" w:ascii="宋体" w:hAnsi="宋体" w:cs="宋体"/>
        </w:rPr>
      </w:pPr>
      <w:r>
        <w:rPr>
          <w:rFonts w:hint="eastAsia" w:ascii="宋体" w:hAnsi="宋体" w:cs="宋体"/>
        </w:rPr>
        <w:t>② 7.1.2数据传输</w:t>
      </w:r>
    </w:p>
    <w:p w14:paraId="70F3A829">
      <w:pPr>
        <w:pStyle w:val="42"/>
        <w:spacing w:line="360" w:lineRule="auto"/>
        <w:ind w:firstLine="480" w:firstLineChars="200"/>
        <w:rPr>
          <w:rFonts w:hint="eastAsia" w:ascii="宋体" w:hAnsi="宋体" w:cs="宋体"/>
        </w:rPr>
      </w:pPr>
      <w:r>
        <w:rPr>
          <w:rFonts w:hint="eastAsia" w:ascii="宋体" w:hAnsi="宋体" w:cs="宋体"/>
        </w:rPr>
        <w:t>本条明确了数据传输的核心要求，包括网络类型、传输方式及协议适配。其编制依据如下：</w:t>
      </w:r>
    </w:p>
    <w:p w14:paraId="4E871CC3">
      <w:pPr>
        <w:pStyle w:val="42"/>
        <w:numPr>
          <w:ilvl w:val="0"/>
          <w:numId w:val="5"/>
        </w:numPr>
        <w:spacing w:line="360" w:lineRule="auto"/>
        <w:ind w:left="0" w:firstLine="481"/>
        <w:rPr>
          <w:rFonts w:hint="eastAsia" w:ascii="宋体" w:hAnsi="宋体" w:cs="宋体"/>
        </w:rPr>
      </w:pPr>
      <w:r>
        <w:rPr>
          <w:rFonts w:hint="eastAsia" w:ascii="宋体" w:hAnsi="宋体" w:cs="宋体"/>
        </w:rPr>
        <w:t>港口数据敏感性与传输需求不同：设备控制指令等敏感数据需通过专用网络保障安全性，而部分环境监测数据可通过公共网络传输以降低成本，因此支持多网络类型是适配不同场景的必要条件；</w:t>
      </w:r>
    </w:p>
    <w:p w14:paraId="30674606">
      <w:pPr>
        <w:pStyle w:val="42"/>
        <w:numPr>
          <w:ilvl w:val="0"/>
          <w:numId w:val="5"/>
        </w:numPr>
        <w:spacing w:line="360" w:lineRule="auto"/>
        <w:ind w:left="0" w:firstLine="481"/>
        <w:rPr>
          <w:rFonts w:hint="eastAsia" w:ascii="宋体" w:hAnsi="宋体" w:cs="宋体"/>
        </w:rPr>
      </w:pPr>
      <w:r>
        <w:rPr>
          <w:rFonts w:hint="eastAsia" w:ascii="宋体" w:hAnsi="宋体" w:cs="宋体"/>
        </w:rPr>
        <w:t>港口设备安装环境复杂（如露天堆场、封闭机房），有线传输（如光纤）适用于固定设备且稳定性高，无线传输（如5G、LoRa）适用于移动设备（如AGV）或布线困难区域，两种方式结合可实现全场景覆盖；</w:t>
      </w:r>
    </w:p>
    <w:p w14:paraId="04F61E36">
      <w:pPr>
        <w:pStyle w:val="42"/>
        <w:numPr>
          <w:ilvl w:val="0"/>
          <w:numId w:val="5"/>
        </w:numPr>
        <w:spacing w:line="360" w:lineRule="auto"/>
        <w:ind w:left="0" w:firstLine="481"/>
        <w:rPr>
          <w:rFonts w:hint="eastAsia" w:ascii="宋体" w:hAnsi="宋体" w:cs="宋体"/>
        </w:rPr>
      </w:pPr>
      <w:r>
        <w:rPr>
          <w:rFonts w:hint="eastAsia" w:ascii="宋体" w:hAnsi="宋体" w:cs="宋体"/>
        </w:rPr>
        <w:t>港口设备可能采用不同通信协议（如工业总线协议Modbus、物联网协议MQTT、视频流协议RTSP），协议适配转换可打破“数据孤岛”，确保不同设备与系统间的数据互通，是构建一体化数据平台的关键。</w:t>
      </w:r>
    </w:p>
    <w:p w14:paraId="70F1C2C6">
      <w:pPr>
        <w:pStyle w:val="42"/>
        <w:spacing w:line="360" w:lineRule="auto"/>
        <w:ind w:firstLine="480" w:firstLineChars="200"/>
        <w:rPr>
          <w:rFonts w:hint="eastAsia" w:ascii="宋体" w:hAnsi="宋体" w:cs="宋体"/>
        </w:rPr>
      </w:pPr>
      <w:r>
        <w:rPr>
          <w:rFonts w:hint="eastAsia" w:ascii="宋体" w:hAnsi="宋体" w:cs="宋体"/>
        </w:rPr>
        <w:t>③ 7.1.3数据存储</w:t>
      </w:r>
    </w:p>
    <w:p w14:paraId="05CA18E0">
      <w:pPr>
        <w:pStyle w:val="42"/>
        <w:spacing w:line="360" w:lineRule="auto"/>
        <w:ind w:firstLine="480" w:firstLineChars="200"/>
        <w:rPr>
          <w:rFonts w:hint="eastAsia" w:ascii="宋体" w:hAnsi="宋体" w:cs="宋体"/>
        </w:rPr>
      </w:pPr>
      <w:r>
        <w:rPr>
          <w:rFonts w:hint="eastAsia" w:ascii="宋体" w:hAnsi="宋体" w:cs="宋体"/>
        </w:rPr>
        <w:t>本条规定了数据存储的核心要求，包括存储格式、可靠性保障、技术选型及数据分层策略。其编制依据如下：</w:t>
      </w:r>
    </w:p>
    <w:p w14:paraId="3528EF11">
      <w:pPr>
        <w:pStyle w:val="42"/>
        <w:numPr>
          <w:ilvl w:val="0"/>
          <w:numId w:val="5"/>
        </w:numPr>
        <w:spacing w:line="360" w:lineRule="auto"/>
        <w:ind w:left="0" w:firstLine="481"/>
        <w:rPr>
          <w:rFonts w:hint="eastAsia" w:ascii="宋体" w:hAnsi="宋体" w:cs="宋体"/>
        </w:rPr>
      </w:pPr>
      <w:r>
        <w:rPr>
          <w:rFonts w:hint="eastAsia" w:ascii="宋体" w:hAnsi="宋体" w:cs="宋体"/>
        </w:rPr>
        <w:t>JSON、XML、CSV等格式支持结构化与半结构化数据存储，适配港口多样化的数据类型（如设备参数表、故障树结构、作业日志），便于后续查询与解析；</w:t>
      </w:r>
    </w:p>
    <w:p w14:paraId="7E6820A9">
      <w:pPr>
        <w:pStyle w:val="42"/>
        <w:numPr>
          <w:ilvl w:val="0"/>
          <w:numId w:val="5"/>
        </w:numPr>
        <w:spacing w:line="360" w:lineRule="auto"/>
        <w:ind w:left="0" w:firstLine="481"/>
        <w:rPr>
          <w:rFonts w:hint="eastAsia" w:ascii="宋体" w:hAnsi="宋体" w:cs="宋体"/>
        </w:rPr>
      </w:pPr>
      <w:r>
        <w:rPr>
          <w:rFonts w:hint="eastAsia" w:ascii="宋体" w:hAnsi="宋体" w:cs="宋体"/>
        </w:rPr>
        <w:t>港口数据关乎设备运行安全与作业效率，不可丢失或损坏，因此需具备高容错性（如数据多副本存储）与高可用性（如集群部署避免单点故障）；HadoopHDFS、NoSQL等技术可支撑海量数据（如多年的设备运行记录）的存储需求，符合港口数据规模增长的趋势；</w:t>
      </w:r>
    </w:p>
    <w:p w14:paraId="7BB9EA27">
      <w:pPr>
        <w:pStyle w:val="42"/>
        <w:numPr>
          <w:ilvl w:val="0"/>
          <w:numId w:val="5"/>
        </w:numPr>
        <w:spacing w:line="360" w:lineRule="auto"/>
        <w:ind w:left="0" w:firstLine="481"/>
        <w:rPr>
          <w:rFonts w:hint="eastAsia" w:ascii="宋体" w:hAnsi="宋体" w:cs="宋体"/>
        </w:rPr>
      </w:pPr>
      <w:r>
        <w:rPr>
          <w:rFonts w:hint="eastAsia" w:ascii="宋体" w:hAnsi="宋体" w:cs="宋体"/>
        </w:rPr>
        <w:t>港口数据中，实时状态数据（如当前作业进度）属于“热数据”需高频访问，历史归档数据（如往年维保记录）属于“冷数据”访问频率低，冷热分离策略可将热数据存储在高性能介质（如SSD）提升访问速度，冷数据存储在低成本介质（如磁带）降低成本，实现存储资源的优化配置。</w:t>
      </w:r>
    </w:p>
    <w:p w14:paraId="2658D6A0">
      <w:pPr>
        <w:pStyle w:val="42"/>
        <w:spacing w:line="360" w:lineRule="auto"/>
        <w:ind w:firstLine="480" w:firstLineChars="200"/>
        <w:rPr>
          <w:rFonts w:hint="eastAsia" w:ascii="宋体" w:hAnsi="宋体" w:cs="宋体"/>
        </w:rPr>
      </w:pPr>
      <w:r>
        <w:rPr>
          <w:rFonts w:hint="eastAsia" w:ascii="宋体" w:hAnsi="宋体" w:cs="宋体"/>
        </w:rPr>
        <w:t>④ 7.1.4数据分析</w:t>
      </w:r>
    </w:p>
    <w:p w14:paraId="392E86BA">
      <w:pPr>
        <w:pStyle w:val="42"/>
        <w:spacing w:line="360" w:lineRule="auto"/>
        <w:ind w:firstLine="480" w:firstLineChars="200"/>
        <w:rPr>
          <w:rFonts w:hint="eastAsia" w:ascii="宋体" w:hAnsi="宋体" w:cs="宋体"/>
        </w:rPr>
      </w:pPr>
      <w:r>
        <w:rPr>
          <w:rFonts w:hint="eastAsia" w:ascii="宋体" w:hAnsi="宋体" w:cs="宋体"/>
        </w:rPr>
        <w:t>本条明确了数据分析的核心要求，包括流程规范、异常处理、处理模式、特征提取及算法应用。其编制依据如下：</w:t>
      </w:r>
    </w:p>
    <w:p w14:paraId="48F355CD">
      <w:pPr>
        <w:pStyle w:val="42"/>
        <w:numPr>
          <w:ilvl w:val="0"/>
          <w:numId w:val="5"/>
        </w:numPr>
        <w:spacing w:line="360" w:lineRule="auto"/>
        <w:ind w:left="0" w:firstLine="481"/>
        <w:rPr>
          <w:rFonts w:hint="eastAsia" w:ascii="宋体" w:hAnsi="宋体" w:cs="宋体"/>
        </w:rPr>
      </w:pPr>
      <w:r>
        <w:rPr>
          <w:rFonts w:hint="eastAsia" w:ascii="宋体" w:hAnsi="宋体" w:cs="宋体"/>
        </w:rPr>
        <w:t>数据分析的规范性直接影响结果可靠性，定义统一的清洗、过滤、聚合流程（如标准化数据格式、去除重复值），可确保不同批次、不同来源数据的分析方法一致，提升结果可比性；</w:t>
      </w:r>
    </w:p>
    <w:p w14:paraId="3A2F7735">
      <w:pPr>
        <w:pStyle w:val="42"/>
        <w:numPr>
          <w:ilvl w:val="0"/>
          <w:numId w:val="5"/>
        </w:numPr>
        <w:spacing w:line="360" w:lineRule="auto"/>
        <w:ind w:left="0" w:firstLine="481"/>
        <w:rPr>
          <w:rFonts w:hint="eastAsia" w:ascii="宋体" w:hAnsi="宋体" w:cs="宋体"/>
        </w:rPr>
      </w:pPr>
      <w:r>
        <w:rPr>
          <w:rFonts w:hint="eastAsia" w:ascii="宋体" w:hAnsi="宋体" w:cs="宋体"/>
        </w:rPr>
        <w:t>原始数据可能存在缺失、重复、噪声等问题（如传感器瞬时故障导致的异常值），若不处理会误导分析结论，因此需通过填充缺失值、去重、降噪等手段优化数据质量，为后续分析奠定基础；;</w:t>
      </w:r>
    </w:p>
    <w:p w14:paraId="49FD0F02">
      <w:pPr>
        <w:pStyle w:val="42"/>
        <w:numPr>
          <w:ilvl w:val="0"/>
          <w:numId w:val="5"/>
        </w:numPr>
        <w:spacing w:line="360" w:lineRule="auto"/>
        <w:ind w:left="0" w:firstLine="481"/>
        <w:rPr>
          <w:rFonts w:hint="eastAsia" w:ascii="宋体" w:hAnsi="宋体" w:cs="宋体"/>
        </w:rPr>
      </w:pPr>
      <w:r>
        <w:rPr>
          <w:rFonts w:hint="eastAsia" w:ascii="宋体" w:hAnsi="宋体" w:cs="宋体"/>
        </w:rPr>
        <w:t>港口场景中，实时分析（如设备故障实时预警）与批处理分析（如月度故障率统计）需求并存，支持并行化处理可兼顾时效性与深度分析需求，确保系统既能快速响应实时事件，又能挖掘长期趋势；</w:t>
      </w:r>
    </w:p>
    <w:p w14:paraId="0C35A901">
      <w:pPr>
        <w:pStyle w:val="42"/>
        <w:numPr>
          <w:ilvl w:val="0"/>
          <w:numId w:val="5"/>
        </w:numPr>
        <w:spacing w:line="360" w:lineRule="auto"/>
        <w:ind w:left="0" w:firstLine="481"/>
        <w:rPr>
          <w:rFonts w:hint="eastAsia" w:ascii="宋体" w:hAnsi="宋体" w:cs="宋体"/>
        </w:rPr>
      </w:pPr>
      <w:r>
        <w:rPr>
          <w:rFonts w:hint="eastAsia" w:ascii="宋体" w:hAnsi="宋体" w:cs="宋体"/>
        </w:rPr>
        <w:t>原始数据（如振动波形、温度序列）直接用于故障诊断等场景时效率低，通过特征提取算法（如傅里叶变换提取振动频率特征）可提炼关键信息，降低分析复杂度，提升模型（如故障识别模型）的运行效率；</w:t>
      </w:r>
    </w:p>
    <w:p w14:paraId="01A146B6">
      <w:pPr>
        <w:pStyle w:val="42"/>
        <w:numPr>
          <w:ilvl w:val="0"/>
          <w:numId w:val="5"/>
        </w:numPr>
        <w:spacing w:line="360" w:lineRule="auto"/>
        <w:ind w:left="0" w:firstLine="481"/>
        <w:rPr>
          <w:rFonts w:hint="eastAsia" w:ascii="宋体" w:hAnsi="宋体" w:cs="宋体"/>
        </w:rPr>
      </w:pPr>
      <w:r>
        <w:rPr>
          <w:rFonts w:hint="eastAsia" w:ascii="宋体" w:hAnsi="宋体" w:cs="宋体"/>
        </w:rPr>
        <w:t>统计分析（如均值、方差计算）可揭示数据基本规律（如设备运行参数正常范围），机器学习算法（如神经网络、决策树）可挖掘深层关联（如参数变化与故障的隐性关系），二者结合是实现设备状态预测、故障根因分析等智能化功能的核心技术支撑。</w:t>
      </w:r>
    </w:p>
    <w:p w14:paraId="23226233">
      <w:pPr>
        <w:pStyle w:val="42"/>
        <w:spacing w:line="360" w:lineRule="auto"/>
        <w:ind w:firstLine="480" w:firstLineChars="200"/>
        <w:rPr>
          <w:rFonts w:hint="eastAsia" w:ascii="宋体" w:hAnsi="宋体" w:cs="宋体"/>
        </w:rPr>
      </w:pPr>
      <w:r>
        <w:rPr>
          <w:rFonts w:hint="eastAsia" w:ascii="宋体" w:hAnsi="宋体" w:cs="宋体"/>
        </w:rPr>
        <w:t>（2）7.2数据分类编码</w:t>
      </w:r>
    </w:p>
    <w:p w14:paraId="791E0D33">
      <w:pPr>
        <w:pStyle w:val="42"/>
        <w:spacing w:line="360" w:lineRule="auto"/>
        <w:ind w:firstLine="480" w:firstLineChars="200"/>
        <w:rPr>
          <w:rFonts w:hint="eastAsia" w:ascii="宋体" w:hAnsi="宋体" w:cs="宋体"/>
        </w:rPr>
      </w:pPr>
      <w:r>
        <w:rPr>
          <w:rFonts w:hint="eastAsia" w:ascii="宋体" w:hAnsi="宋体" w:cs="宋体"/>
        </w:rPr>
        <w:t>本条规定了数据分类与编码的层级要求，即按业务职能域、业务模块、业务类型进行层级划分。其编制依据如下：</w:t>
      </w:r>
    </w:p>
    <w:p w14:paraId="10ED5E98">
      <w:pPr>
        <w:pStyle w:val="42"/>
        <w:numPr>
          <w:ilvl w:val="0"/>
          <w:numId w:val="5"/>
        </w:numPr>
        <w:spacing w:line="360" w:lineRule="auto"/>
        <w:ind w:left="0" w:firstLine="481"/>
        <w:rPr>
          <w:rFonts w:hint="eastAsia" w:ascii="宋体" w:hAnsi="宋体" w:cs="宋体"/>
        </w:rPr>
      </w:pPr>
      <w:r>
        <w:rPr>
          <w:rFonts w:hint="eastAsia" w:ascii="宋体" w:hAnsi="宋体" w:cs="宋体"/>
        </w:rPr>
        <w:t>港口业务体系复杂，涵盖设备运维、作业调度、安全管理等多个职能域，每个职能域又包含若干业务模块（如设备运维包含状态监测、备件管理），模块下再细分具体业务类型（如备件管理包含采购、库存、消耗）。这种层级分类方式可使数据组织与业务逻辑高度匹配，避免数据混乱；</w:t>
      </w:r>
    </w:p>
    <w:p w14:paraId="7D52AF3A">
      <w:pPr>
        <w:pStyle w:val="42"/>
        <w:numPr>
          <w:ilvl w:val="0"/>
          <w:numId w:val="5"/>
        </w:numPr>
        <w:spacing w:line="360" w:lineRule="auto"/>
        <w:ind w:left="0" w:firstLine="481"/>
        <w:rPr>
          <w:rFonts w:hint="eastAsia" w:ascii="宋体" w:hAnsi="宋体" w:cs="宋体"/>
        </w:rPr>
      </w:pPr>
      <w:r>
        <w:rPr>
          <w:rFonts w:hint="eastAsia" w:ascii="宋体" w:hAnsi="宋体" w:cs="宋体"/>
        </w:rPr>
        <w:t>统一的分类编码标准是实现数据共享与管理的基础。例如，对“岸桥-起升机构-电机温度”数据赋予唯一编码，可确保在不同系统（如状态监测系统、维修系统）中对该数据的指代一致，减少跨系统数据交互的歧义；</w:t>
      </w:r>
    </w:p>
    <w:p w14:paraId="6819453F">
      <w:pPr>
        <w:pStyle w:val="42"/>
        <w:numPr>
          <w:ilvl w:val="0"/>
          <w:numId w:val="5"/>
        </w:numPr>
        <w:spacing w:line="360" w:lineRule="auto"/>
        <w:ind w:left="0" w:firstLine="481"/>
        <w:rPr>
          <w:rFonts w:hint="eastAsia" w:ascii="宋体" w:hAnsi="宋体" w:cs="宋体"/>
        </w:rPr>
      </w:pPr>
      <w:r>
        <w:rPr>
          <w:rFonts w:hint="eastAsia" w:ascii="宋体" w:hAnsi="宋体" w:cs="宋体"/>
        </w:rPr>
        <w:t>层级化的分类编码便于数据的检索与统计。例如，通过“业务职能域→设备运维→故障记录”的层级路径，可快速定位某类设备的历史故障数据，提升数据查询效率。</w:t>
      </w:r>
    </w:p>
    <w:p w14:paraId="2C82616C">
      <w:pPr>
        <w:pStyle w:val="42"/>
        <w:spacing w:line="360" w:lineRule="auto"/>
        <w:ind w:firstLine="480" w:firstLineChars="200"/>
        <w:rPr>
          <w:rFonts w:hint="eastAsia" w:ascii="宋体" w:hAnsi="宋体" w:cs="宋体"/>
        </w:rPr>
      </w:pPr>
      <w:r>
        <w:rPr>
          <w:rFonts w:hint="eastAsia" w:ascii="宋体" w:hAnsi="宋体" w:cs="宋体"/>
        </w:rPr>
        <w:t>（3）7.3数据质量控制</w:t>
      </w:r>
    </w:p>
    <w:p w14:paraId="20E0366A">
      <w:pPr>
        <w:pStyle w:val="42"/>
        <w:spacing w:line="360" w:lineRule="auto"/>
        <w:ind w:firstLine="480" w:firstLineChars="200"/>
        <w:rPr>
          <w:rFonts w:hint="eastAsia" w:ascii="宋体" w:hAnsi="宋体" w:cs="宋体"/>
        </w:rPr>
      </w:pPr>
      <w:r>
        <w:rPr>
          <w:rFonts w:hint="eastAsia" w:ascii="宋体" w:hAnsi="宋体" w:cs="宋体"/>
        </w:rPr>
        <w:t>① 7.3.1数据完整性</w:t>
      </w:r>
    </w:p>
    <w:p w14:paraId="5494539A">
      <w:pPr>
        <w:pStyle w:val="42"/>
        <w:spacing w:line="360" w:lineRule="auto"/>
        <w:ind w:firstLine="480" w:firstLineChars="200"/>
        <w:rPr>
          <w:rFonts w:hint="eastAsia" w:ascii="宋体" w:hAnsi="宋体" w:cs="宋体"/>
        </w:rPr>
      </w:pPr>
      <w:r>
        <w:rPr>
          <w:rFonts w:hint="eastAsia" w:ascii="宋体" w:hAnsi="宋体" w:cs="宋体"/>
        </w:rPr>
        <w:t>本条要求保证数据的完整性，关注缺失比例、覆盖范围及避免丢失重复。其编制依据如下：</w:t>
      </w:r>
    </w:p>
    <w:p w14:paraId="595825A4">
      <w:pPr>
        <w:pStyle w:val="42"/>
        <w:numPr>
          <w:ilvl w:val="0"/>
          <w:numId w:val="5"/>
        </w:numPr>
        <w:spacing w:line="360" w:lineRule="auto"/>
        <w:ind w:left="0" w:firstLine="481"/>
        <w:rPr>
          <w:rFonts w:hint="eastAsia" w:ascii="宋体" w:hAnsi="宋体" w:cs="宋体"/>
        </w:rPr>
      </w:pPr>
      <w:r>
        <w:rPr>
          <w:rFonts w:hint="eastAsia" w:ascii="宋体" w:hAnsi="宋体" w:cs="宋体"/>
        </w:rPr>
        <w:t>数据缺失（如关键运行参数缺失）会导致状态评估不准确（如无法判断设备是否过载），重复数据则会增加存储与分析成本，因此需通过技术手段（如采集节点冗余部署）与管理规范（如数据录入校验）确保数据完整；</w:t>
      </w:r>
    </w:p>
    <w:p w14:paraId="25A8F798">
      <w:pPr>
        <w:pStyle w:val="42"/>
        <w:numPr>
          <w:ilvl w:val="0"/>
          <w:numId w:val="5"/>
        </w:numPr>
        <w:spacing w:line="360" w:lineRule="auto"/>
        <w:ind w:left="0" w:firstLine="481"/>
        <w:rPr>
          <w:rFonts w:hint="eastAsia" w:ascii="宋体" w:hAnsi="宋体" w:cs="宋体"/>
        </w:rPr>
      </w:pPr>
      <w:r>
        <w:rPr>
          <w:rFonts w:hint="eastAsia" w:ascii="宋体" w:hAnsi="宋体" w:cs="宋体"/>
        </w:rPr>
        <w:t>数据覆盖范围需匹配业务需求，例如设备全生命周期管理需覆盖从采购、安装、运行到报废的全阶段数据，若某一阶段数据缺失，会影响对设备整体状态的评估。</w:t>
      </w:r>
    </w:p>
    <w:p w14:paraId="5E2F5517">
      <w:pPr>
        <w:pStyle w:val="42"/>
        <w:spacing w:line="360" w:lineRule="auto"/>
        <w:ind w:firstLine="480" w:firstLineChars="200"/>
        <w:rPr>
          <w:rFonts w:hint="eastAsia" w:ascii="宋体" w:hAnsi="宋体" w:cs="宋体"/>
        </w:rPr>
      </w:pPr>
      <w:r>
        <w:rPr>
          <w:rFonts w:hint="eastAsia" w:ascii="宋体" w:hAnsi="宋体" w:cs="宋体"/>
        </w:rPr>
        <w:t>② 7.3.2数据准确性</w:t>
      </w:r>
    </w:p>
    <w:p w14:paraId="58E02926">
      <w:pPr>
        <w:pStyle w:val="42"/>
        <w:spacing w:line="360" w:lineRule="auto"/>
        <w:ind w:firstLine="480" w:firstLineChars="200"/>
        <w:rPr>
          <w:rFonts w:hint="eastAsia" w:ascii="宋体" w:hAnsi="宋体" w:cs="宋体"/>
        </w:rPr>
      </w:pPr>
      <w:r>
        <w:rPr>
          <w:rFonts w:hint="eastAsia" w:ascii="宋体" w:hAnsi="宋体" w:cs="宋体"/>
        </w:rPr>
        <w:t>本条要求定期校验数据准确性，确保真实可靠。其编制依据如下：</w:t>
      </w:r>
    </w:p>
    <w:p w14:paraId="2A976FD2">
      <w:pPr>
        <w:pStyle w:val="42"/>
        <w:spacing w:line="360" w:lineRule="auto"/>
        <w:ind w:firstLine="480" w:firstLineChars="200"/>
        <w:rPr>
          <w:rFonts w:hint="eastAsia" w:ascii="宋体" w:hAnsi="宋体" w:cs="宋体"/>
        </w:rPr>
      </w:pPr>
      <w:r>
        <w:rPr>
          <w:rFonts w:hint="eastAsia" w:ascii="宋体" w:hAnsi="宋体" w:cs="宋体"/>
        </w:rPr>
        <w:t>数据准确性是决策的前提，例如若传感器数据存在偏差（如实际温度30℃却显示50℃），可能导致误判设备过热并触发不必要的停机。定期校验（如与标准仪器比对、人工复核关键数据）可及时发现并修正错误，保障数据可信度。</w:t>
      </w:r>
    </w:p>
    <w:p w14:paraId="0EA99D0A">
      <w:pPr>
        <w:pStyle w:val="42"/>
        <w:spacing w:line="360" w:lineRule="auto"/>
        <w:ind w:firstLine="480" w:firstLineChars="200"/>
        <w:rPr>
          <w:rFonts w:hint="eastAsia" w:ascii="宋体" w:hAnsi="宋体" w:cs="宋体"/>
        </w:rPr>
      </w:pPr>
      <w:r>
        <w:rPr>
          <w:rFonts w:hint="eastAsia" w:ascii="宋体" w:hAnsi="宋体" w:cs="宋体"/>
        </w:rPr>
        <w:t>③ 7.3.3数据一致性</w:t>
      </w:r>
    </w:p>
    <w:p w14:paraId="1BFA42A1">
      <w:pPr>
        <w:pStyle w:val="42"/>
        <w:spacing w:line="360" w:lineRule="auto"/>
        <w:ind w:firstLine="480" w:firstLineChars="200"/>
        <w:rPr>
          <w:rFonts w:hint="eastAsia" w:ascii="宋体" w:hAnsi="宋体" w:cs="宋体"/>
        </w:rPr>
      </w:pPr>
      <w:r>
        <w:rPr>
          <w:rFonts w:hint="eastAsia" w:ascii="宋体" w:hAnsi="宋体" w:cs="宋体"/>
        </w:rPr>
        <w:t>本条要求评估数据的一致性（如格式、单位），避免冲突。其编制依据如下：</w:t>
      </w:r>
    </w:p>
    <w:p w14:paraId="6ADAE497">
      <w:pPr>
        <w:pStyle w:val="42"/>
        <w:spacing w:line="360" w:lineRule="auto"/>
        <w:ind w:firstLine="480" w:firstLineChars="200"/>
        <w:rPr>
          <w:rFonts w:hint="eastAsia" w:ascii="宋体" w:hAnsi="宋体" w:cs="宋体"/>
        </w:rPr>
      </w:pPr>
      <w:r>
        <w:rPr>
          <w:rFonts w:hint="eastAsia" w:ascii="宋体" w:hAnsi="宋体" w:cs="宋体"/>
        </w:rPr>
        <w:t>不同系统或设备可能采用不同的数据格式（如日期格式“YYYY-MM-DD”与“DD/MM/YYYY”）或单位（如温度单位℃与℉），若不一致会导致数据无法直接比对分析（如跨设备的温度趋势对比）。通过一致性评估与标准化处理，可确保数据在全系统内的统一。</w:t>
      </w:r>
    </w:p>
    <w:p w14:paraId="6A806758">
      <w:pPr>
        <w:pStyle w:val="42"/>
        <w:spacing w:line="360" w:lineRule="auto"/>
        <w:ind w:firstLine="480" w:firstLineChars="200"/>
        <w:rPr>
          <w:rFonts w:hint="eastAsia" w:ascii="宋体" w:hAnsi="宋体" w:cs="宋体"/>
        </w:rPr>
      </w:pPr>
      <w:r>
        <w:rPr>
          <w:rFonts w:hint="eastAsia" w:ascii="宋体" w:hAnsi="宋体" w:cs="宋体"/>
        </w:rPr>
        <w:t>④ 7.3.4数据覆盖广度</w:t>
      </w:r>
    </w:p>
    <w:p w14:paraId="5B0989C9">
      <w:pPr>
        <w:pStyle w:val="42"/>
        <w:spacing w:line="360" w:lineRule="auto"/>
        <w:ind w:firstLine="480" w:firstLineChars="200"/>
        <w:rPr>
          <w:rFonts w:hint="eastAsia" w:ascii="宋体" w:hAnsi="宋体" w:cs="宋体"/>
        </w:rPr>
      </w:pPr>
      <w:r>
        <w:rPr>
          <w:rFonts w:hint="eastAsia" w:ascii="宋体" w:hAnsi="宋体" w:cs="宋体"/>
        </w:rPr>
        <w:t>本条要求数据覆盖范围涵盖港口各类自动化设备及相关手册信息。其编制依据如下：</w:t>
      </w:r>
    </w:p>
    <w:p w14:paraId="17F7D6AA">
      <w:pPr>
        <w:pStyle w:val="42"/>
        <w:spacing w:line="360" w:lineRule="auto"/>
        <w:ind w:firstLine="480" w:firstLineChars="200"/>
        <w:rPr>
          <w:rFonts w:hint="eastAsia" w:ascii="宋体" w:hAnsi="宋体" w:cs="宋体"/>
        </w:rPr>
      </w:pPr>
      <w:r>
        <w:rPr>
          <w:rFonts w:hint="eastAsia" w:ascii="宋体" w:hAnsi="宋体" w:cs="宋体"/>
        </w:rPr>
        <w:t>港口自动化设备类型多样（船岸装卸设备、水平运输设备、堆场设备等），且不同型号设备的维修、保养要求存在差异。数据覆盖的全面性可确保系统对各类设备都能提供有效的管理支持，避免因数据缺失导致的“管理盲区”。</w:t>
      </w:r>
    </w:p>
    <w:p w14:paraId="19F2E7CA">
      <w:pPr>
        <w:pStyle w:val="42"/>
        <w:spacing w:line="360" w:lineRule="auto"/>
        <w:ind w:firstLine="480" w:firstLineChars="200"/>
        <w:rPr>
          <w:rFonts w:hint="eastAsia" w:ascii="宋体" w:hAnsi="宋体" w:cs="宋体"/>
        </w:rPr>
      </w:pPr>
      <w:r>
        <w:rPr>
          <w:rFonts w:hint="eastAsia" w:ascii="宋体" w:hAnsi="宋体" w:cs="宋体"/>
        </w:rPr>
        <w:t>⑤ 7.3.5反馈渠道</w:t>
      </w:r>
    </w:p>
    <w:p w14:paraId="16B2F46C">
      <w:pPr>
        <w:pStyle w:val="42"/>
        <w:spacing w:line="360" w:lineRule="auto"/>
        <w:ind w:firstLine="480" w:firstLineChars="200"/>
        <w:rPr>
          <w:rFonts w:hint="eastAsia" w:ascii="宋体" w:hAnsi="宋体" w:cs="宋体"/>
        </w:rPr>
      </w:pPr>
      <w:r>
        <w:rPr>
          <w:rFonts w:hint="eastAsia" w:ascii="宋体" w:hAnsi="宋体" w:cs="宋体"/>
        </w:rPr>
        <w:t>本条要求设立反馈渠道收集使用者意见。其编制依据如下：</w:t>
      </w:r>
    </w:p>
    <w:p w14:paraId="6A578403">
      <w:pPr>
        <w:pStyle w:val="42"/>
        <w:spacing w:line="360" w:lineRule="auto"/>
        <w:ind w:firstLine="480" w:firstLineChars="200"/>
        <w:rPr>
          <w:rFonts w:hint="eastAsia" w:ascii="宋体" w:hAnsi="宋体" w:cs="宋体"/>
        </w:rPr>
      </w:pPr>
      <w:r>
        <w:rPr>
          <w:rFonts w:hint="eastAsia" w:ascii="宋体" w:hAnsi="宋体" w:cs="宋体"/>
        </w:rPr>
        <w:t>数据质量的提升是持续过程，使用者（如运维人员、调度人员）在实际操作中最能发现数据问题（如某类设备的参数缺失、手册信息过时），设立反馈渠道可及时收集这些信息，为数据优化（如补充采集、更新文档）提供依据，形成“数据生成-使用-反馈-优化”的闭环。</w:t>
      </w:r>
    </w:p>
    <w:p w14:paraId="3A704A72">
      <w:pPr>
        <w:numPr>
          <w:ilvl w:val="0"/>
          <w:numId w:val="6"/>
        </w:numPr>
        <w:spacing w:line="360" w:lineRule="auto"/>
        <w:ind w:firstLine="480" w:firstLineChars="200"/>
        <w:rPr>
          <w:rFonts w:hint="eastAsia" w:ascii="宋体" w:hAnsi="宋体" w:cs="宋体"/>
          <w:b/>
          <w:bCs/>
          <w:sz w:val="24"/>
        </w:rPr>
      </w:pPr>
      <w:r>
        <w:rPr>
          <w:rFonts w:hint="eastAsia" w:ascii="宋体" w:hAnsi="宋体" w:cs="宋体"/>
          <w:b/>
          <w:bCs/>
          <w:sz w:val="24"/>
        </w:rPr>
        <w:t>第八章 算法模型</w:t>
      </w:r>
    </w:p>
    <w:p w14:paraId="00E4CBB6">
      <w:pPr>
        <w:pStyle w:val="42"/>
        <w:spacing w:line="360" w:lineRule="auto"/>
        <w:ind w:firstLine="480" w:firstLineChars="200"/>
        <w:rPr>
          <w:rFonts w:hint="eastAsia" w:ascii="宋体" w:hAnsi="宋体" w:cs="宋体"/>
        </w:rPr>
      </w:pPr>
      <w:r>
        <w:rPr>
          <w:rFonts w:hint="eastAsia" w:ascii="宋体" w:hAnsi="宋体" w:cs="宋体"/>
        </w:rPr>
        <w:t>（1）8.1数据类型</w:t>
      </w:r>
    </w:p>
    <w:p w14:paraId="6467C5DA">
      <w:pPr>
        <w:pStyle w:val="42"/>
        <w:spacing w:line="360" w:lineRule="auto"/>
        <w:ind w:firstLine="480" w:firstLineChars="200"/>
        <w:rPr>
          <w:rFonts w:hint="eastAsia" w:ascii="宋体" w:hAnsi="宋体" w:cs="宋体"/>
        </w:rPr>
      </w:pPr>
      <w:r>
        <w:rPr>
          <w:rFonts w:hint="eastAsia" w:ascii="宋体" w:hAnsi="宋体" w:cs="宋体"/>
        </w:rPr>
        <w:t>本条规定系统算法模型应支持文本、图像、视频、传感器数据等多类型数据。其编制依据如下：</w:t>
      </w:r>
    </w:p>
    <w:p w14:paraId="7C1E39FF">
      <w:pPr>
        <w:pStyle w:val="42"/>
        <w:spacing w:line="360" w:lineRule="auto"/>
        <w:ind w:firstLine="480" w:firstLineChars="200"/>
        <w:rPr>
          <w:rFonts w:hint="eastAsia" w:ascii="宋体" w:hAnsi="宋体" w:cs="宋体"/>
        </w:rPr>
      </w:pPr>
      <w:r>
        <w:rPr>
          <w:rFonts w:hint="eastAsia" w:ascii="宋体" w:hAnsi="宋体" w:cs="宋体"/>
        </w:rPr>
        <w:t>港口自动化设备管理涉及多维度信息交互，不同数据类型承载不同价值：文本数据（如设备手册、法规条文、维修工单）是知识传递的基础载体，支撑参数查询、规程检索等功能；图像与视频数据（如故障现场照片、设备运行视频）可直观呈现设备状态（如部件磨损、变形），辅助故障诊断；传感器数据（如振动、温度、电流信号）反映设备实时运行特性，是状态监测、故障预警的核心依据。多模态数据的融合应用，能覆盖设备全生命周期管理的各类场景（从日常查询到紧急抢修），为算法模型提供全面输入，确保智能化功能的完整性与准确性。</w:t>
      </w:r>
    </w:p>
    <w:p w14:paraId="2EA3F655">
      <w:pPr>
        <w:pStyle w:val="42"/>
        <w:spacing w:line="360" w:lineRule="auto"/>
        <w:ind w:firstLine="480" w:firstLineChars="200"/>
        <w:rPr>
          <w:rFonts w:hint="eastAsia" w:ascii="宋体" w:hAnsi="宋体" w:cs="宋体"/>
        </w:rPr>
      </w:pPr>
      <w:r>
        <w:rPr>
          <w:rFonts w:hint="eastAsia" w:ascii="宋体" w:hAnsi="宋体" w:cs="宋体"/>
        </w:rPr>
        <w:t>（2）8.2服务类型</w:t>
      </w:r>
    </w:p>
    <w:p w14:paraId="632DD6BF">
      <w:pPr>
        <w:pStyle w:val="42"/>
        <w:spacing w:line="360" w:lineRule="auto"/>
        <w:ind w:firstLine="480" w:firstLineChars="200"/>
        <w:rPr>
          <w:rFonts w:hint="eastAsia" w:ascii="宋体" w:hAnsi="宋体" w:cs="宋体"/>
        </w:rPr>
      </w:pPr>
      <w:r>
        <w:rPr>
          <w:rFonts w:hint="eastAsia" w:ascii="宋体" w:hAnsi="宋体" w:cs="宋体"/>
        </w:rPr>
        <w:t>本条明确算法模型应提供智能化检索问答与智能化运维方案两类服务，覆盖港口主要自动化设备。其编制依据如下：</w:t>
      </w:r>
    </w:p>
    <w:p w14:paraId="70943C3E">
      <w:pPr>
        <w:pStyle w:val="42"/>
        <w:spacing w:line="360" w:lineRule="auto"/>
        <w:ind w:firstLine="480" w:firstLineChars="200"/>
        <w:rPr>
          <w:rFonts w:hint="eastAsia" w:ascii="宋体" w:hAnsi="宋体" w:cs="宋体"/>
        </w:rPr>
      </w:pPr>
      <w:r>
        <w:rPr>
          <w:rFonts w:hint="eastAsia" w:ascii="宋体" w:hAnsi="宋体" w:cs="宋体"/>
        </w:rPr>
        <w:t>港口设备运维存在两类核心需求：一是“知识获取”，工作人员需快速查询设备参数、维保法规、行业术语等（如“岸桥起升电机额定功率”“GB/T42809中关于故障预警的要求”），传统人工检索效率低，智能化检索可缩短响应时间；二是“决策支持”，设备故障时需快速定位原因并生成维修方案（如“抓斗式卸船机液压系统泄漏的处理步骤”），依赖人工经验易受技能差异影响，智能化运维方案可基于专家知识库与历史案例提供标准化建议。针对集装箱岸边起重机、堆料机等主流设备提供服务，可覆盖港口核心作业设备，确保系统实用性，直接提升运维效率与故障处理速度。</w:t>
      </w:r>
    </w:p>
    <w:p w14:paraId="01D81515">
      <w:pPr>
        <w:pStyle w:val="42"/>
        <w:spacing w:line="360" w:lineRule="auto"/>
        <w:ind w:firstLine="480" w:firstLineChars="200"/>
        <w:rPr>
          <w:rFonts w:hint="eastAsia" w:ascii="宋体" w:hAnsi="宋体" w:cs="宋体"/>
        </w:rPr>
      </w:pPr>
      <w:r>
        <w:rPr>
          <w:rFonts w:hint="eastAsia" w:ascii="宋体" w:hAnsi="宋体" w:cs="宋体"/>
        </w:rPr>
        <w:t>（3）8.3性能要求</w:t>
      </w:r>
    </w:p>
    <w:p w14:paraId="59AD7229">
      <w:pPr>
        <w:pStyle w:val="42"/>
        <w:spacing w:line="360" w:lineRule="auto"/>
        <w:ind w:firstLine="480" w:firstLineChars="200"/>
        <w:rPr>
          <w:rFonts w:hint="eastAsia" w:ascii="宋体" w:hAnsi="宋体" w:cs="宋体"/>
        </w:rPr>
      </w:pPr>
      <w:r>
        <w:rPr>
          <w:rFonts w:hint="eastAsia" w:ascii="宋体" w:hAnsi="宋体" w:cs="宋体"/>
        </w:rPr>
        <w:t>本条规定算法模型的性能指标，包括设备覆盖率、准确率、响应时间、并发能力、可用性等。其编制依据如下：</w:t>
      </w:r>
    </w:p>
    <w:p w14:paraId="6E017D30">
      <w:pPr>
        <w:pStyle w:val="42"/>
        <w:numPr>
          <w:ilvl w:val="0"/>
          <w:numId w:val="5"/>
        </w:numPr>
        <w:spacing w:line="360" w:lineRule="auto"/>
        <w:ind w:left="0" w:firstLine="481"/>
        <w:rPr>
          <w:rFonts w:hint="eastAsia" w:ascii="宋体" w:hAnsi="宋体" w:cs="宋体"/>
        </w:rPr>
      </w:pPr>
      <w:r>
        <w:rPr>
          <w:rFonts w:hint="eastAsia" w:ascii="宋体" w:hAnsi="宋体" w:cs="宋体"/>
        </w:rPr>
        <w:t>设备覆盖率≥80%：港口自动化设备类型多样（含附属设备及关键零部件），覆盖主流设备可确保系统对多数场景的支撑能力，避免“管理盲区”；</w:t>
      </w:r>
    </w:p>
    <w:p w14:paraId="4A2C99AA">
      <w:pPr>
        <w:pStyle w:val="42"/>
        <w:numPr>
          <w:ilvl w:val="0"/>
          <w:numId w:val="5"/>
        </w:numPr>
        <w:spacing w:line="360" w:lineRule="auto"/>
        <w:ind w:left="0" w:firstLine="481"/>
        <w:rPr>
          <w:rFonts w:hint="eastAsia" w:ascii="宋体" w:hAnsi="宋体" w:cs="宋体"/>
        </w:rPr>
      </w:pPr>
      <w:r>
        <w:rPr>
          <w:rFonts w:hint="eastAsia" w:ascii="宋体" w:hAnsi="宋体" w:cs="宋体"/>
        </w:rPr>
        <w:t>准确率≥85%（参数、法规问答）：设备参数与法规标准是决策的刚性依据（如维保周期、安全规范），高准确率可避免因信息错误导致的操作失误；</w:t>
      </w:r>
    </w:p>
    <w:p w14:paraId="2C0FF915">
      <w:pPr>
        <w:pStyle w:val="42"/>
        <w:numPr>
          <w:ilvl w:val="0"/>
          <w:numId w:val="5"/>
        </w:numPr>
        <w:spacing w:line="360" w:lineRule="auto"/>
        <w:ind w:left="0" w:firstLine="481"/>
        <w:rPr>
          <w:rFonts w:hint="eastAsia" w:ascii="宋体" w:hAnsi="宋体" w:cs="宋体"/>
        </w:rPr>
      </w:pPr>
      <w:r>
        <w:rPr>
          <w:rFonts w:hint="eastAsia" w:ascii="宋体" w:hAnsi="宋体" w:cs="宋体"/>
        </w:rPr>
        <w:t>可信度≥80%（故障诊断与方案）：故障处理存在一定不确定性，80%的可信度平衡了技术可行性与实际需求，既保证方案参考价值，又为人工判断留有余地；</w:t>
      </w:r>
    </w:p>
    <w:p w14:paraId="7BD36ACD">
      <w:pPr>
        <w:pStyle w:val="42"/>
        <w:numPr>
          <w:ilvl w:val="0"/>
          <w:numId w:val="5"/>
        </w:numPr>
        <w:spacing w:line="360" w:lineRule="auto"/>
        <w:ind w:left="0" w:firstLine="481"/>
        <w:rPr>
          <w:rFonts w:hint="eastAsia" w:ascii="宋体" w:hAnsi="宋体" w:cs="宋体"/>
        </w:rPr>
      </w:pPr>
      <w:r>
        <w:rPr>
          <w:rFonts w:hint="eastAsia" w:ascii="宋体" w:hAnsi="宋体" w:cs="宋体"/>
        </w:rPr>
        <w:t>响应时间≤1s（简单问题）、≤5s（复杂问题）：港口作业节奏快（如故障抢修时每分每秒影响作业效率），短响应时间可减少等待成本，确保快速决策；</w:t>
      </w:r>
    </w:p>
    <w:p w14:paraId="78B521F2">
      <w:pPr>
        <w:pStyle w:val="42"/>
        <w:numPr>
          <w:ilvl w:val="0"/>
          <w:numId w:val="5"/>
        </w:numPr>
        <w:spacing w:line="360" w:lineRule="auto"/>
        <w:ind w:left="0" w:firstLine="481"/>
        <w:rPr>
          <w:rFonts w:hint="eastAsia" w:ascii="宋体" w:hAnsi="宋体" w:cs="宋体"/>
        </w:rPr>
      </w:pPr>
      <w:r>
        <w:rPr>
          <w:rFonts w:hint="eastAsia" w:ascii="宋体" w:hAnsi="宋体" w:cs="宋体"/>
        </w:rPr>
        <w:t>并发用户请求≥100：作业高峰期（如船舶集中到港）可能有多班组同时查询（如运维、调度、技术支持），高并发能力可避免系统卡顿；</w:t>
      </w:r>
    </w:p>
    <w:p w14:paraId="57E43B45">
      <w:pPr>
        <w:pStyle w:val="42"/>
        <w:numPr>
          <w:ilvl w:val="0"/>
          <w:numId w:val="5"/>
        </w:numPr>
        <w:spacing w:line="360" w:lineRule="auto"/>
        <w:ind w:left="0" w:firstLine="481"/>
        <w:rPr>
          <w:rFonts w:hint="eastAsia" w:ascii="宋体" w:hAnsi="宋体" w:cs="宋体"/>
        </w:rPr>
      </w:pPr>
      <w:r>
        <w:rPr>
          <w:rFonts w:hint="eastAsia" w:ascii="宋体" w:hAnsi="宋体" w:cs="宋体"/>
        </w:rPr>
        <w:t>7×24h可用、MTTR≤30min：港口为连续作业场景（无节假日间断），系统需与作业节奏匹配，快速故障恢复可减少因模型不可用导致的运维中断。</w:t>
      </w:r>
    </w:p>
    <w:p w14:paraId="69C2B7BB">
      <w:pPr>
        <w:pStyle w:val="42"/>
        <w:spacing w:line="360" w:lineRule="auto"/>
        <w:ind w:firstLine="480" w:firstLineChars="200"/>
        <w:rPr>
          <w:rFonts w:hint="eastAsia" w:ascii="宋体" w:hAnsi="宋体" w:cs="宋体"/>
        </w:rPr>
      </w:pPr>
      <w:r>
        <w:rPr>
          <w:rFonts w:hint="eastAsia" w:ascii="宋体" w:hAnsi="宋体" w:cs="宋体"/>
        </w:rPr>
        <w:t>（4）8.4模型训练</w:t>
      </w:r>
    </w:p>
    <w:p w14:paraId="6E0F6FD3">
      <w:pPr>
        <w:pStyle w:val="42"/>
        <w:spacing w:line="360" w:lineRule="auto"/>
        <w:ind w:firstLine="480" w:firstLineChars="200"/>
        <w:rPr>
          <w:rFonts w:hint="eastAsia" w:ascii="宋体" w:hAnsi="宋体" w:cs="宋体"/>
        </w:rPr>
      </w:pPr>
      <w:r>
        <w:rPr>
          <w:rFonts w:hint="eastAsia" w:ascii="宋体" w:hAnsi="宋体" w:cs="宋体"/>
        </w:rPr>
        <w:t>本条规定模型训练的全流程，包括预训练、模型调整与强化学习。其编制依据如下：</w:t>
      </w:r>
    </w:p>
    <w:p w14:paraId="6141EB42">
      <w:pPr>
        <w:pStyle w:val="42"/>
        <w:spacing w:line="360" w:lineRule="auto"/>
        <w:ind w:firstLine="480" w:firstLineChars="200"/>
        <w:rPr>
          <w:rFonts w:hint="eastAsia" w:ascii="宋体" w:hAnsi="宋体" w:cs="宋体"/>
        </w:rPr>
      </w:pPr>
      <w:r>
        <w:rPr>
          <w:rFonts w:hint="eastAsia" w:ascii="宋体" w:hAnsi="宋体" w:cs="宋体"/>
        </w:rPr>
        <w:t>① 8.4.1预训练</w:t>
      </w:r>
    </w:p>
    <w:p w14:paraId="38EB3BB0">
      <w:pPr>
        <w:pStyle w:val="42"/>
        <w:spacing w:line="360" w:lineRule="auto"/>
        <w:ind w:firstLine="480" w:firstLineChars="200"/>
        <w:rPr>
          <w:rFonts w:hint="eastAsia" w:ascii="宋体" w:hAnsi="宋体" w:cs="宋体"/>
        </w:rPr>
      </w:pPr>
      <w:r>
        <w:rPr>
          <w:rFonts w:hint="eastAsia" w:ascii="宋体" w:hAnsi="宋体" w:cs="宋体"/>
        </w:rPr>
        <w:t>数据准备：高质量、多样化数据是模型性能的基础。港口数据需覆盖多设备、多场景（如不同工况下的故障案例），清洗与预处理可消除噪声（如错误标注、重复记录），数据增强（如文本同义句生成、图像旋转）可弥补数据量不足，确保模型泛化能力；</w:t>
      </w:r>
    </w:p>
    <w:p w14:paraId="335D9A51">
      <w:pPr>
        <w:pStyle w:val="42"/>
        <w:spacing w:line="360" w:lineRule="auto"/>
        <w:ind w:firstLine="480" w:firstLineChars="200"/>
        <w:rPr>
          <w:rFonts w:hint="eastAsia" w:ascii="宋体" w:hAnsi="宋体" w:cs="宋体"/>
        </w:rPr>
      </w:pPr>
      <w:r>
        <w:rPr>
          <w:rFonts w:hint="eastAsia" w:ascii="宋体" w:hAnsi="宋体" w:cs="宋体"/>
        </w:rPr>
        <w:t>模型架构：Transformer架构在自然语言处理、多模态融合任务中表现优异（如BERT、GPT系列），兼容Decoder-only等模式可适配不同任务（生成式问答用Decoder-only，检索式问答用Encoder-only）；参数规模不低于GPT-3（1750亿参数），可支撑复杂语义理解与长上下文处理（如解析多步骤维修手册），满足港口复杂知识的建模需求。</w:t>
      </w:r>
    </w:p>
    <w:p w14:paraId="28F5E4ED">
      <w:pPr>
        <w:pStyle w:val="42"/>
        <w:spacing w:line="360" w:lineRule="auto"/>
        <w:ind w:firstLine="480" w:firstLineChars="200"/>
        <w:rPr>
          <w:rFonts w:hint="eastAsia" w:ascii="宋体" w:hAnsi="宋体" w:cs="宋体"/>
        </w:rPr>
      </w:pPr>
      <w:r>
        <w:rPr>
          <w:rFonts w:hint="eastAsia" w:ascii="宋体" w:hAnsi="宋体" w:cs="宋体"/>
        </w:rPr>
        <w:t>② 8.4.2模型调整</w:t>
      </w:r>
    </w:p>
    <w:p w14:paraId="7C5C2738">
      <w:pPr>
        <w:pStyle w:val="42"/>
        <w:spacing w:line="360" w:lineRule="auto"/>
        <w:ind w:firstLine="480" w:firstLineChars="200"/>
        <w:rPr>
          <w:rFonts w:hint="eastAsia" w:ascii="宋体" w:hAnsi="宋体" w:cs="宋体"/>
        </w:rPr>
      </w:pPr>
      <w:r>
        <w:rPr>
          <w:rFonts w:hint="eastAsia" w:ascii="宋体" w:hAnsi="宋体" w:cs="宋体"/>
        </w:rPr>
        <w:t>微调通过少量任务相关数据校准模型（如针对“港口设备特有术语”优化问答逻辑），全参数微调、低秩适应（LoRA）等策略可平衡调优效果与计算成本：全参数微调适用于核心任务，参数高效微调可降低资源消耗，提升训练效率。</w:t>
      </w:r>
    </w:p>
    <w:p w14:paraId="7659885A">
      <w:pPr>
        <w:pStyle w:val="42"/>
        <w:spacing w:line="360" w:lineRule="auto"/>
        <w:ind w:firstLine="480" w:firstLineChars="200"/>
        <w:rPr>
          <w:rFonts w:hint="eastAsia" w:ascii="宋体" w:hAnsi="宋体" w:cs="宋体"/>
        </w:rPr>
      </w:pPr>
      <w:r>
        <w:rPr>
          <w:rFonts w:hint="eastAsia" w:ascii="宋体" w:hAnsi="宋体" w:cs="宋体"/>
        </w:rPr>
        <w:t>③ 8.4.3强化学习</w:t>
      </w:r>
    </w:p>
    <w:p w14:paraId="63D0CC05">
      <w:pPr>
        <w:pStyle w:val="42"/>
        <w:spacing w:line="360" w:lineRule="auto"/>
        <w:ind w:firstLine="480" w:firstLineChars="200"/>
        <w:rPr>
          <w:rFonts w:hint="eastAsia" w:ascii="宋体" w:hAnsi="宋体" w:cs="宋体"/>
        </w:rPr>
      </w:pPr>
      <w:r>
        <w:rPr>
          <w:rFonts w:hint="eastAsia" w:ascii="宋体" w:hAnsi="宋体" w:cs="宋体"/>
        </w:rPr>
        <w:t>基于人类反馈的强化学习（RLHF）等方式可使模型输出更贴合人类需求（如优先推荐更安全的维修方案），监督微调对齐可确保模型行为符合港口管理规范（如遵循安全操作规程），避免输出不合理建议。</w:t>
      </w:r>
    </w:p>
    <w:p w14:paraId="5C2FC83C">
      <w:pPr>
        <w:pStyle w:val="42"/>
        <w:spacing w:line="360" w:lineRule="auto"/>
        <w:ind w:firstLine="480" w:firstLineChars="200"/>
        <w:rPr>
          <w:rFonts w:hint="eastAsia" w:ascii="宋体" w:hAnsi="宋体" w:cs="宋体"/>
        </w:rPr>
      </w:pPr>
      <w:r>
        <w:rPr>
          <w:rFonts w:hint="eastAsia" w:ascii="宋体" w:hAnsi="宋体" w:cs="宋体"/>
        </w:rPr>
        <w:t>（5）8.5模型优化</w:t>
      </w:r>
    </w:p>
    <w:p w14:paraId="30219FA2">
      <w:pPr>
        <w:pStyle w:val="42"/>
        <w:spacing w:line="360" w:lineRule="auto"/>
        <w:ind w:firstLine="480" w:firstLineChars="200"/>
        <w:rPr>
          <w:rFonts w:hint="eastAsia" w:ascii="宋体" w:hAnsi="宋体" w:cs="宋体"/>
        </w:rPr>
      </w:pPr>
      <w:r>
        <w:rPr>
          <w:rFonts w:hint="eastAsia" w:ascii="宋体" w:hAnsi="宋体" w:cs="宋体"/>
        </w:rPr>
        <w:t>本条规定模型优化的措施，包括增量训练、用户反馈、状态监测、压缩技术等。其编制依据如下：</w:t>
      </w:r>
    </w:p>
    <w:p w14:paraId="14F5CAAB">
      <w:pPr>
        <w:pStyle w:val="42"/>
        <w:numPr>
          <w:ilvl w:val="0"/>
          <w:numId w:val="5"/>
        </w:numPr>
        <w:spacing w:line="360" w:lineRule="auto"/>
        <w:ind w:left="0" w:firstLine="481"/>
        <w:rPr>
          <w:rFonts w:hint="eastAsia" w:ascii="宋体" w:hAnsi="宋体" w:cs="宋体"/>
        </w:rPr>
      </w:pPr>
      <w:r>
        <w:rPr>
          <w:rFonts w:hint="eastAsia" w:ascii="宋体" w:hAnsi="宋体" w:cs="宋体"/>
        </w:rPr>
        <w:t>增量训练：港口设备技术与运维知识持续更新（如新型设备投入、法规修订），基于新数据迭代模型可确保知识时效性（如纳入新设备参数、更新法规条款）；</w:t>
      </w:r>
    </w:p>
    <w:p w14:paraId="346CBA2B">
      <w:pPr>
        <w:pStyle w:val="42"/>
        <w:numPr>
          <w:ilvl w:val="0"/>
          <w:numId w:val="5"/>
        </w:numPr>
        <w:spacing w:line="360" w:lineRule="auto"/>
        <w:ind w:left="0" w:firstLine="481"/>
        <w:rPr>
          <w:rFonts w:hint="eastAsia" w:ascii="宋体" w:hAnsi="宋体" w:cs="宋体"/>
        </w:rPr>
      </w:pPr>
      <w:r>
        <w:rPr>
          <w:rFonts w:hint="eastAsia" w:ascii="宋体" w:hAnsi="宋体" w:cs="宋体"/>
        </w:rPr>
        <w:t>用户反馈：实际运维中可能出现模型未覆盖的场景（如罕见故障），反馈渠道可收集这类信息，针对性优化模型（如补充训练样本）；</w:t>
      </w:r>
    </w:p>
    <w:p w14:paraId="4A2ED85D">
      <w:pPr>
        <w:pStyle w:val="42"/>
        <w:numPr>
          <w:ilvl w:val="0"/>
          <w:numId w:val="5"/>
        </w:numPr>
        <w:spacing w:line="360" w:lineRule="auto"/>
        <w:ind w:left="0" w:firstLine="481"/>
        <w:rPr>
          <w:rFonts w:hint="eastAsia" w:ascii="宋体" w:hAnsi="宋体" w:cs="宋体"/>
        </w:rPr>
      </w:pPr>
      <w:r>
        <w:rPr>
          <w:rFonts w:hint="eastAsia" w:ascii="宋体" w:hAnsi="宋体" w:cs="宋体"/>
        </w:rPr>
        <w:t>状态监测：模型性能可能随数据分布变化（如传感器数据漂移）而下降，实时监测可及时发现瓶颈（如某类问题准确率下降）并修复；</w:t>
      </w:r>
    </w:p>
    <w:p w14:paraId="022F5256">
      <w:pPr>
        <w:pStyle w:val="42"/>
        <w:numPr>
          <w:ilvl w:val="0"/>
          <w:numId w:val="5"/>
        </w:numPr>
        <w:spacing w:line="360" w:lineRule="auto"/>
        <w:ind w:left="0" w:firstLine="481"/>
        <w:rPr>
          <w:rFonts w:hint="eastAsia" w:ascii="宋体" w:hAnsi="宋体" w:cs="宋体"/>
        </w:rPr>
      </w:pPr>
      <w:r>
        <w:rPr>
          <w:rFonts w:hint="eastAsia" w:ascii="宋体" w:hAnsi="宋体" w:cs="宋体"/>
        </w:rPr>
        <w:t>模型压缩：港口边缘设备（如现场运维终端）计算资源有限，量化（降低参数精度）、剪枝（移除冗余神经元）等技术可减小模型体积，提升推理速度，适配边缘部署场景，确保现场查询的实时性。</w:t>
      </w:r>
    </w:p>
    <w:p w14:paraId="6C766BF4">
      <w:pPr>
        <w:numPr>
          <w:ilvl w:val="0"/>
          <w:numId w:val="6"/>
        </w:numPr>
        <w:spacing w:line="360" w:lineRule="auto"/>
        <w:ind w:firstLine="480" w:firstLineChars="200"/>
        <w:rPr>
          <w:rFonts w:hint="eastAsia" w:ascii="宋体" w:hAnsi="宋体" w:cs="宋体"/>
          <w:b/>
          <w:bCs/>
          <w:sz w:val="24"/>
        </w:rPr>
      </w:pPr>
      <w:r>
        <w:rPr>
          <w:rFonts w:hint="eastAsia" w:ascii="宋体" w:hAnsi="宋体" w:cs="宋体"/>
          <w:b/>
          <w:bCs/>
          <w:sz w:val="24"/>
        </w:rPr>
        <w:t>第九章 安全与保护</w:t>
      </w:r>
    </w:p>
    <w:p w14:paraId="1618711F">
      <w:pPr>
        <w:pStyle w:val="42"/>
        <w:spacing w:line="360" w:lineRule="auto"/>
        <w:ind w:firstLine="480" w:firstLineChars="200"/>
        <w:rPr>
          <w:rFonts w:hint="eastAsia" w:ascii="宋体" w:hAnsi="宋体" w:cs="宋体"/>
        </w:rPr>
      </w:pPr>
      <w:r>
        <w:rPr>
          <w:rFonts w:hint="eastAsia" w:ascii="宋体" w:hAnsi="宋体" w:cs="宋体"/>
        </w:rPr>
        <w:t>（1）9.1信息安全</w:t>
      </w:r>
    </w:p>
    <w:p w14:paraId="42B87805">
      <w:pPr>
        <w:pStyle w:val="42"/>
        <w:spacing w:line="360" w:lineRule="auto"/>
        <w:ind w:firstLine="480" w:firstLineChars="200"/>
        <w:rPr>
          <w:rFonts w:hint="eastAsia" w:ascii="宋体" w:hAnsi="宋体" w:cs="宋体"/>
        </w:rPr>
      </w:pPr>
      <w:r>
        <w:rPr>
          <w:rFonts w:hint="eastAsia" w:ascii="宋体" w:hAnsi="宋体" w:cs="宋体"/>
        </w:rPr>
        <w:t>本条规定信息和网络安全保护措施应符合GB/T 22239和GB/T 37934的相关要求。其编制依据如下：</w:t>
      </w:r>
    </w:p>
    <w:p w14:paraId="39E135C7">
      <w:pPr>
        <w:pStyle w:val="42"/>
        <w:spacing w:line="360" w:lineRule="auto"/>
        <w:ind w:firstLine="480" w:firstLineChars="200"/>
        <w:rPr>
          <w:rFonts w:hint="eastAsia" w:ascii="宋体" w:hAnsi="宋体" w:cs="宋体"/>
        </w:rPr>
      </w:pPr>
      <w:r>
        <w:rPr>
          <w:rFonts w:hint="eastAsia" w:ascii="宋体" w:hAnsi="宋体" w:cs="宋体"/>
        </w:rPr>
        <w:t>港口自动化设备智能管理系统涉及港口关键基础设施的运行数据、控制指令及商业信息，属于重要信息系统范畴。GB/T 22239《信息安全技术网络安全等级保护基本要求》是我国网络安全的基础性标准，明确了信息系统在物理安全、网络安全、主机安全等方面的通用防护要求，确保系统免受网络攻击、数据泄露等威胁；GB/T 37934《信息安全技术工业控制网络安全第2部分：工业控制网络安全防护基本要求》则针对工业控制场景（如港口设备控制），提出了适配工业协议、实时性要求的安全防护措施。遵循这两项标准，可从通用安全与工业场景特殊性两方面构建防护体系，保障系统在网络通信、数据处理、设备控制等环节的安全性，符合国家网络安全法律法规要求，同时避免因安全漏洞导致设备停运、数据泄露等重大风险。</w:t>
      </w:r>
    </w:p>
    <w:p w14:paraId="0FD8E498">
      <w:pPr>
        <w:pStyle w:val="42"/>
        <w:spacing w:line="360" w:lineRule="auto"/>
        <w:ind w:firstLine="480" w:firstLineChars="200"/>
        <w:rPr>
          <w:rFonts w:hint="eastAsia" w:ascii="宋体" w:hAnsi="宋体" w:cs="宋体"/>
          <w:b/>
          <w:bCs/>
        </w:rPr>
      </w:pPr>
      <w:r>
        <w:rPr>
          <w:rFonts w:hint="eastAsia" w:ascii="宋体" w:hAnsi="宋体" w:cs="宋体"/>
          <w:b/>
          <w:bCs/>
        </w:rPr>
        <w:t>（2）9.2数据加密</w:t>
      </w:r>
    </w:p>
    <w:p w14:paraId="0EC651C5">
      <w:pPr>
        <w:pStyle w:val="42"/>
        <w:spacing w:line="360" w:lineRule="auto"/>
        <w:ind w:firstLine="480" w:firstLineChars="200"/>
        <w:rPr>
          <w:rFonts w:hint="eastAsia" w:ascii="宋体" w:hAnsi="宋体" w:cs="宋体"/>
        </w:rPr>
      </w:pPr>
      <w:r>
        <w:rPr>
          <w:rFonts w:hint="eastAsia" w:ascii="宋体" w:hAnsi="宋体" w:cs="宋体"/>
        </w:rPr>
        <w:t>① 9.2.1传输加密</w:t>
      </w:r>
    </w:p>
    <w:p w14:paraId="693BAF08">
      <w:pPr>
        <w:pStyle w:val="42"/>
        <w:spacing w:line="360" w:lineRule="auto"/>
        <w:ind w:firstLine="480" w:firstLineChars="200"/>
        <w:rPr>
          <w:rFonts w:hint="eastAsia" w:ascii="宋体" w:hAnsi="宋体" w:cs="宋体"/>
        </w:rPr>
      </w:pPr>
      <w:r>
        <w:rPr>
          <w:rFonts w:hint="eastAsia" w:ascii="宋体" w:hAnsi="宋体" w:cs="宋体"/>
        </w:rPr>
        <w:t>本条规定宜采用TLS/SSL协议对数据传输进行加密。其编制依据如下：</w:t>
      </w:r>
    </w:p>
    <w:p w14:paraId="31B6B626">
      <w:pPr>
        <w:pStyle w:val="42"/>
        <w:spacing w:line="360" w:lineRule="auto"/>
        <w:rPr>
          <w:rFonts w:hint="eastAsia" w:ascii="宋体" w:hAnsi="宋体" w:cs="宋体"/>
        </w:rPr>
      </w:pPr>
      <w:r>
        <w:rPr>
          <w:rFonts w:hint="eastAsia" w:ascii="宋体" w:hAnsi="宋体" w:cs="宋体"/>
        </w:rPr>
        <w:t>系统数据在传输过程中（如传感器数据上传至平台、控制指令下发至设备、用户查询请求与响应）可能经过公共网络或无线链路，存在被截获、篡改的风险。港口数据中，设备运行参数、故障信息、维修计划等属于敏感信息，若泄露或被篡改，可能导致设备控制失效、运维决策错误。TLS/SSL协议是成熟的传输层加密技术，可通过证书验证、数据加密确保传输过程的机密性与完整性，防止中间人攻击，保障数据从源头到目的地的安全传递，适配港口数据跨网络、跨设备传输的复杂场景。</w:t>
      </w:r>
    </w:p>
    <w:p w14:paraId="4976AD64">
      <w:pPr>
        <w:pStyle w:val="42"/>
        <w:spacing w:line="360" w:lineRule="auto"/>
        <w:ind w:firstLine="480" w:firstLineChars="200"/>
        <w:rPr>
          <w:rFonts w:hint="eastAsia" w:ascii="宋体" w:hAnsi="宋体" w:cs="宋体"/>
        </w:rPr>
      </w:pPr>
      <w:r>
        <w:rPr>
          <w:rFonts w:hint="eastAsia" w:ascii="宋体" w:hAnsi="宋体" w:cs="宋体"/>
        </w:rPr>
        <w:t>② 9.2.2存储加密</w:t>
      </w:r>
    </w:p>
    <w:p w14:paraId="68E6AA25">
      <w:pPr>
        <w:pStyle w:val="42"/>
        <w:spacing w:line="360" w:lineRule="auto"/>
        <w:ind w:firstLine="480" w:firstLineChars="200"/>
        <w:rPr>
          <w:rFonts w:hint="eastAsia" w:ascii="宋体" w:hAnsi="宋体" w:cs="宋体"/>
        </w:rPr>
      </w:pPr>
      <w:r>
        <w:rPr>
          <w:rFonts w:hint="eastAsia" w:ascii="宋体" w:hAnsi="宋体" w:cs="宋体"/>
        </w:rPr>
        <w:t>本条规定应对存储的敏感数据采用AES等高强度加密算法加密。其编制依据如下：</w:t>
      </w:r>
    </w:p>
    <w:p w14:paraId="741A3EF4">
      <w:pPr>
        <w:pStyle w:val="42"/>
        <w:spacing w:line="360" w:lineRule="auto"/>
        <w:ind w:firstLine="480" w:firstLineChars="200"/>
        <w:rPr>
          <w:rFonts w:hint="eastAsia" w:ascii="宋体" w:hAnsi="宋体" w:cs="宋体"/>
        </w:rPr>
      </w:pPr>
      <w:r>
        <w:rPr>
          <w:rFonts w:hint="eastAsia" w:ascii="宋体" w:hAnsi="宋体" w:cs="宋体"/>
        </w:rPr>
        <w:t>系统存储的数据（如设备电子档案、历史故障记录、用户权限信息）集中存放于数据库或文件系统，若存储介质被盗、数据库被非法入侵，可能导致敏感信息泄露（如设备设计参数、维保策略）。AES算法是国际公认的高强度对称加密算法，支持128位、256位密钥长度，可对静态数据进行加密保护，即使存储介质被非法访问，未授权者也无法解读数据内容。对敏感数据实施存储加密，是数据安全的最后一道防线，与传输加密形成“端到端”防护，确保数据全生命周期安全。</w:t>
      </w:r>
    </w:p>
    <w:p w14:paraId="2DEE1DF6">
      <w:pPr>
        <w:pStyle w:val="42"/>
        <w:spacing w:line="360" w:lineRule="auto"/>
        <w:ind w:firstLine="480" w:firstLineChars="200"/>
        <w:rPr>
          <w:rFonts w:hint="eastAsia" w:ascii="宋体" w:hAnsi="宋体" w:cs="宋体"/>
        </w:rPr>
      </w:pPr>
      <w:r>
        <w:rPr>
          <w:rFonts w:hint="eastAsia" w:ascii="宋体" w:hAnsi="宋体" w:cs="宋体"/>
          <w:b/>
          <w:bCs/>
        </w:rPr>
        <w:t>（3）</w:t>
      </w:r>
      <w:r>
        <w:rPr>
          <w:rFonts w:hint="eastAsia" w:ascii="宋体" w:hAnsi="宋体" w:cs="宋体"/>
        </w:rPr>
        <w:t>9.3访问权限控制</w:t>
      </w:r>
    </w:p>
    <w:p w14:paraId="23004202">
      <w:pPr>
        <w:pStyle w:val="42"/>
        <w:spacing w:line="360" w:lineRule="auto"/>
        <w:ind w:firstLine="480" w:firstLineChars="200"/>
        <w:rPr>
          <w:rFonts w:hint="eastAsia" w:ascii="宋体" w:hAnsi="宋体" w:cs="宋体"/>
        </w:rPr>
      </w:pPr>
      <w:r>
        <w:rPr>
          <w:rFonts w:hint="eastAsia" w:ascii="宋体" w:hAnsi="宋体" w:cs="宋体"/>
        </w:rPr>
        <w:t>① 9.3.1多因素认证</w:t>
      </w:r>
    </w:p>
    <w:p w14:paraId="5BF0FFD2">
      <w:pPr>
        <w:pStyle w:val="42"/>
        <w:spacing w:line="360" w:lineRule="auto"/>
        <w:ind w:firstLine="480" w:firstLineChars="200"/>
        <w:rPr>
          <w:rFonts w:hint="eastAsia" w:ascii="宋体" w:hAnsi="宋体" w:cs="宋体"/>
        </w:rPr>
      </w:pPr>
      <w:r>
        <w:rPr>
          <w:rFonts w:hint="eastAsia" w:ascii="宋体" w:hAnsi="宋体" w:cs="宋体"/>
        </w:rPr>
        <w:t>本条规定应采用多因素认证方式确保仅授权用户访问系统。其编制依据如下：</w:t>
      </w:r>
    </w:p>
    <w:p w14:paraId="479304DD">
      <w:pPr>
        <w:pStyle w:val="42"/>
        <w:spacing w:line="360" w:lineRule="auto"/>
        <w:ind w:firstLine="480" w:firstLineChars="200"/>
        <w:rPr>
          <w:rFonts w:hint="eastAsia" w:ascii="宋体" w:hAnsi="宋体" w:cs="宋体"/>
        </w:rPr>
      </w:pPr>
      <w:r>
        <w:rPr>
          <w:rFonts w:hint="eastAsia" w:ascii="宋体" w:hAnsi="宋体" w:cs="宋体"/>
        </w:rPr>
        <w:t>单一密码认证存在被盗取、破解的风险，而系统用户（如运维人员、管理人员）的账号若被非法登录，可能导致未授权操作（如修改设备参数、删除维修记录），威胁设备安全运行。多因素认证（如“密码+动态验证码”“密码+USBKey”）通过结合知识因素（密码）、持有因素（硬件令牌）或生物因素（指纹），大幅提升身份认证的安全性，确保登录者为合法授权用户，有效防范账号盗用风险，符合港口系统对访问控制的高安全要求。</w:t>
      </w:r>
    </w:p>
    <w:p w14:paraId="6E2E6980">
      <w:pPr>
        <w:pStyle w:val="42"/>
        <w:spacing w:line="360" w:lineRule="auto"/>
        <w:ind w:firstLine="480" w:firstLineChars="200"/>
        <w:rPr>
          <w:rFonts w:hint="eastAsia" w:ascii="宋体" w:hAnsi="宋体" w:cs="宋体"/>
        </w:rPr>
      </w:pPr>
      <w:r>
        <w:rPr>
          <w:rFonts w:hint="eastAsia" w:ascii="宋体" w:hAnsi="宋体" w:cs="宋体"/>
        </w:rPr>
        <w:t>② 9.3.2基于角色的权限分配</w:t>
      </w:r>
    </w:p>
    <w:p w14:paraId="05923DD4">
      <w:pPr>
        <w:pStyle w:val="42"/>
        <w:spacing w:line="360" w:lineRule="auto"/>
        <w:ind w:firstLine="480" w:firstLineChars="200"/>
        <w:rPr>
          <w:rFonts w:hint="eastAsia" w:ascii="宋体" w:hAnsi="宋体" w:cs="宋体"/>
        </w:rPr>
      </w:pPr>
      <w:r>
        <w:rPr>
          <w:rFonts w:hint="eastAsia" w:ascii="宋体" w:hAnsi="宋体" w:cs="宋体"/>
        </w:rPr>
        <w:t>本条规定应根据用户角色分配不同访问权限，最小化数据泄露风险。其编制依据如下：</w:t>
      </w:r>
    </w:p>
    <w:p w14:paraId="565A97E6">
      <w:pPr>
        <w:pStyle w:val="42"/>
        <w:spacing w:line="360" w:lineRule="auto"/>
        <w:ind w:firstLine="480" w:firstLineChars="200"/>
        <w:rPr>
          <w:rFonts w:hint="eastAsia" w:ascii="宋体" w:hAnsi="宋体" w:cs="宋体"/>
        </w:rPr>
      </w:pPr>
      <w:r>
        <w:rPr>
          <w:rFonts w:hint="eastAsia" w:ascii="宋体" w:hAnsi="宋体" w:cs="宋体"/>
        </w:rPr>
        <w:t>港口系统用户角色多样（如一线运维员、技术专家、系统管理员），不同角色所需的数据与操作权限差异显著（如运维员需查看设备状态，管理员可修改系统配置）。基于角色分配权限，可确保用户仅能访问其工作必需的资源（如限制运维员修改核心参数），避免权限过度授予。“最小权限原则”是信息安全的核心原则，可减少因权限滥用、账号被盗导致的数据泄露或误操作风险，同时便于权限统一管理与审计。</w:t>
      </w:r>
    </w:p>
    <w:p w14:paraId="6C8240FF">
      <w:pPr>
        <w:pStyle w:val="42"/>
        <w:spacing w:line="360" w:lineRule="auto"/>
        <w:ind w:firstLine="480" w:firstLineChars="200"/>
        <w:rPr>
          <w:rFonts w:hint="eastAsia" w:ascii="宋体" w:hAnsi="宋体" w:cs="宋体"/>
        </w:rPr>
      </w:pPr>
      <w:r>
        <w:rPr>
          <w:rFonts w:hint="eastAsia" w:ascii="宋体" w:hAnsi="宋体" w:cs="宋体"/>
          <w:b/>
          <w:bCs/>
        </w:rPr>
        <w:t>（4）</w:t>
      </w:r>
      <w:r>
        <w:rPr>
          <w:rFonts w:hint="eastAsia" w:ascii="宋体" w:hAnsi="宋体" w:cs="宋体"/>
        </w:rPr>
        <w:t>9.4模型安全审计</w:t>
      </w:r>
    </w:p>
    <w:p w14:paraId="5C046CCC">
      <w:pPr>
        <w:pStyle w:val="42"/>
        <w:spacing w:line="360" w:lineRule="auto"/>
        <w:ind w:firstLine="480" w:firstLineChars="200"/>
        <w:rPr>
          <w:rFonts w:hint="eastAsia" w:ascii="宋体" w:hAnsi="宋体" w:cs="宋体"/>
        </w:rPr>
      </w:pPr>
      <w:r>
        <w:rPr>
          <w:rFonts w:hint="eastAsia" w:ascii="宋体" w:hAnsi="宋体" w:cs="宋体"/>
        </w:rPr>
        <w:t>① 9.4.1训练与推理环境加固</w:t>
      </w:r>
    </w:p>
    <w:p w14:paraId="30CEB92F">
      <w:pPr>
        <w:pStyle w:val="42"/>
        <w:spacing w:line="360" w:lineRule="auto"/>
        <w:ind w:firstLine="480" w:firstLineChars="200"/>
        <w:rPr>
          <w:rFonts w:hint="eastAsia" w:ascii="宋体" w:hAnsi="宋体" w:cs="宋体"/>
        </w:rPr>
      </w:pPr>
      <w:r>
        <w:rPr>
          <w:rFonts w:hint="eastAsia" w:ascii="宋体" w:hAnsi="宋体" w:cs="宋体"/>
        </w:rPr>
        <w:t>本条规定应对大模型的训练和推理环境进行安全加固。其编制依据如下：</w:t>
      </w:r>
    </w:p>
    <w:p w14:paraId="05A30935">
      <w:pPr>
        <w:pStyle w:val="42"/>
        <w:spacing w:line="360" w:lineRule="auto"/>
        <w:ind w:firstLine="480" w:firstLineChars="200"/>
        <w:rPr>
          <w:rFonts w:hint="eastAsia" w:ascii="宋体" w:hAnsi="宋体" w:cs="宋体"/>
        </w:rPr>
      </w:pPr>
      <w:r>
        <w:rPr>
          <w:rFonts w:hint="eastAsia" w:ascii="宋体" w:hAnsi="宋体" w:cs="宋体"/>
        </w:rPr>
        <w:t>大模型是系统智能化功能的核心（如故障诊断、方案生成），其训练环境（数据、算力资源）和推理环境（运行时系统）若存在漏洞，可能被恶意攻击（如注入有毒数据污染模型、植入恶意代码篡改推理结果）。模型被攻击后，可能输出错误诊断结论（如误判设备正常为故障）或危险操作建议（如错误的维修步骤），直接威胁设备安全。对环境进行加固（如部署防火墙、入侵检测系统、权限隔离），可防范针对模型的恶意攻击，保障模型训练与推理过程的完整性。</w:t>
      </w:r>
    </w:p>
    <w:p w14:paraId="5AA4F485">
      <w:pPr>
        <w:pStyle w:val="42"/>
        <w:spacing w:line="360" w:lineRule="auto"/>
        <w:ind w:firstLine="480" w:firstLineChars="200"/>
        <w:rPr>
          <w:rFonts w:hint="eastAsia" w:ascii="宋体" w:hAnsi="宋体" w:cs="宋体"/>
        </w:rPr>
      </w:pPr>
      <w:r>
        <w:rPr>
          <w:rFonts w:hint="eastAsia" w:ascii="宋体" w:hAnsi="宋体" w:cs="宋体"/>
        </w:rPr>
        <w:t>② 9.4.2模型访问控制与权限管理</w:t>
      </w:r>
    </w:p>
    <w:p w14:paraId="054569FD">
      <w:pPr>
        <w:pStyle w:val="42"/>
        <w:spacing w:line="360" w:lineRule="auto"/>
        <w:ind w:firstLine="480" w:firstLineChars="200"/>
        <w:rPr>
          <w:rFonts w:hint="eastAsia" w:ascii="宋体" w:hAnsi="宋体" w:cs="宋体"/>
        </w:rPr>
      </w:pPr>
      <w:r>
        <w:rPr>
          <w:rFonts w:hint="eastAsia" w:ascii="宋体" w:hAnsi="宋体" w:cs="宋体"/>
        </w:rPr>
        <w:t>本条规定应实施模型访问控制和权限管理。其编制依据如下：</w:t>
      </w:r>
    </w:p>
    <w:p w14:paraId="52FFAFF4">
      <w:pPr>
        <w:pStyle w:val="42"/>
        <w:spacing w:line="360" w:lineRule="auto"/>
        <w:ind w:firstLine="480" w:firstLineChars="200"/>
        <w:rPr>
          <w:rFonts w:hint="eastAsia" w:ascii="宋体" w:hAnsi="宋体" w:cs="宋体"/>
        </w:rPr>
      </w:pPr>
      <w:r>
        <w:rPr>
          <w:rFonts w:hint="eastAsia" w:ascii="宋体" w:hAnsi="宋体" w:cs="宋体"/>
        </w:rPr>
        <w:t>模型的训练数据、参数配置、推理接口属于核心资产，未授权访问可能导致模型被窃取、篡改或滥用（如复制模型用于非法用途、修改模型参数影响输出结果）。通过严格的访问控制（如仅允许指定管理员操作模型）和权限划分（如训练权限与推理权限分离），可确保模型全生命周期操作的可控性，防止未授权人员干预模型运行，保障模型功能的可靠性。</w:t>
      </w:r>
    </w:p>
    <w:p w14:paraId="360E0174">
      <w:pPr>
        <w:pStyle w:val="42"/>
        <w:spacing w:line="360" w:lineRule="auto"/>
        <w:ind w:firstLine="480" w:firstLineChars="200"/>
        <w:rPr>
          <w:rFonts w:hint="eastAsia" w:ascii="宋体" w:hAnsi="宋体" w:cs="宋体"/>
        </w:rPr>
      </w:pPr>
      <w:r>
        <w:rPr>
          <w:rFonts w:hint="eastAsia" w:ascii="宋体" w:hAnsi="宋体" w:cs="宋体"/>
        </w:rPr>
        <w:t>③ 9.4.3定期安全审查</w:t>
      </w:r>
    </w:p>
    <w:p w14:paraId="525A8280">
      <w:pPr>
        <w:pStyle w:val="42"/>
        <w:spacing w:line="360" w:lineRule="auto"/>
        <w:ind w:firstLine="480" w:firstLineChars="200"/>
        <w:rPr>
          <w:rFonts w:hint="eastAsia" w:ascii="宋体" w:hAnsi="宋体" w:cs="宋体"/>
        </w:rPr>
      </w:pPr>
      <w:r>
        <w:rPr>
          <w:rFonts w:hint="eastAsia" w:ascii="宋体" w:hAnsi="宋体" w:cs="宋体"/>
        </w:rPr>
        <w:t>本条规定应定期对模型及使用环境进行安全审查。其编制依据如下：</w:t>
      </w:r>
    </w:p>
    <w:p w14:paraId="754D4DA6">
      <w:pPr>
        <w:pStyle w:val="42"/>
        <w:spacing w:line="360" w:lineRule="auto"/>
        <w:ind w:firstLine="480" w:firstLineChars="200"/>
        <w:rPr>
          <w:rFonts w:hint="eastAsia" w:ascii="宋体" w:hAnsi="宋体" w:cs="宋体"/>
        </w:rPr>
      </w:pPr>
      <w:r>
        <w:rPr>
          <w:rFonts w:hint="eastAsia" w:ascii="宋体" w:hAnsi="宋体" w:cs="宋体"/>
        </w:rPr>
        <w:t>模型安全是动态变化的，新的攻击手段、数据分布变化可能导致潜在漏洞（如模型训练数据被污染后逐渐失效）。定期审查（如漏洞扫描、模型输出一致性校验、环境配置检查）可及时发现安全隐患（如模型被注入后门、环境权限配置错误），并通过补丁更新、配置优化等方式修复，持续保障模型安全，避免因隐性漏洞长期存在导致的风险累积。</w:t>
      </w:r>
    </w:p>
    <w:p w14:paraId="31A8E1C0">
      <w:pPr>
        <w:pStyle w:val="42"/>
        <w:spacing w:line="360" w:lineRule="auto"/>
        <w:ind w:firstLine="480" w:firstLineChars="200"/>
        <w:rPr>
          <w:rFonts w:hint="eastAsia" w:ascii="宋体" w:hAnsi="宋体" w:cs="宋体"/>
        </w:rPr>
      </w:pPr>
      <w:r>
        <w:rPr>
          <w:rFonts w:hint="eastAsia" w:ascii="宋体" w:hAnsi="宋体" w:cs="宋体"/>
        </w:rPr>
        <w:t>④ 9.4.4操作日志记录</w:t>
      </w:r>
    </w:p>
    <w:p w14:paraId="36E953C0">
      <w:pPr>
        <w:pStyle w:val="42"/>
        <w:spacing w:line="360" w:lineRule="auto"/>
        <w:ind w:firstLine="480" w:firstLineChars="200"/>
        <w:rPr>
          <w:rFonts w:hint="eastAsia" w:ascii="宋体" w:hAnsi="宋体" w:cs="宋体"/>
        </w:rPr>
      </w:pPr>
      <w:r>
        <w:rPr>
          <w:rFonts w:hint="eastAsia" w:ascii="宋体" w:hAnsi="宋体" w:cs="宋体"/>
        </w:rPr>
        <w:t>本条规定应记录模型使用过程中的操作日志。其编制依据如下：</w:t>
      </w:r>
    </w:p>
    <w:p w14:paraId="303EADCA">
      <w:pPr>
        <w:pStyle w:val="42"/>
        <w:spacing w:line="360" w:lineRule="auto"/>
        <w:ind w:firstLine="480" w:firstLineChars="200"/>
        <w:rPr>
          <w:rFonts w:hint="eastAsia" w:ascii="宋体" w:hAnsi="宋体" w:cs="宋体"/>
        </w:rPr>
      </w:pPr>
      <w:r>
        <w:rPr>
          <w:rFonts w:hint="eastAsia" w:ascii="宋体" w:hAnsi="宋体" w:cs="宋体"/>
        </w:rPr>
        <w:t>日志是追溯安全事件的关键依据。模型使用过程中（如训练数据上传、模型参数修改、推理结果调用）的操作日志，可记录操作人员、时间、操作内容等信息。当发生安全事件（如模型输出异常）时，通过日志分析可定位事件原因（如是否有人为篡改模型、输入数据是否被污染），为责任认定、风险溯源提供支持，同时通过日志审计可发现异常操作（如非工作时间的模型修改），及时防范潜在威胁。</w:t>
      </w:r>
    </w:p>
    <w:p w14:paraId="6F9DEB55">
      <w:pPr>
        <w:pStyle w:val="42"/>
        <w:spacing w:line="360" w:lineRule="auto"/>
        <w:ind w:firstLine="480" w:firstLineChars="200"/>
        <w:rPr>
          <w:rFonts w:hint="eastAsia" w:ascii="宋体" w:hAnsi="宋体" w:cs="宋体"/>
        </w:rPr>
      </w:pPr>
      <w:r>
        <w:rPr>
          <w:rFonts w:hint="eastAsia" w:ascii="宋体" w:hAnsi="宋体" w:cs="宋体"/>
          <w:b/>
          <w:bCs/>
        </w:rPr>
        <w:t>（5）</w:t>
      </w:r>
      <w:r>
        <w:rPr>
          <w:rFonts w:hint="eastAsia" w:ascii="宋体" w:hAnsi="宋体" w:cs="宋体"/>
        </w:rPr>
        <w:t>9.5用户输入与模型输出安全</w:t>
      </w:r>
    </w:p>
    <w:p w14:paraId="185A0AA0">
      <w:pPr>
        <w:pStyle w:val="42"/>
        <w:spacing w:line="360" w:lineRule="auto"/>
        <w:ind w:firstLine="480" w:firstLineChars="200"/>
        <w:rPr>
          <w:rFonts w:hint="eastAsia" w:ascii="宋体" w:hAnsi="宋体" w:cs="宋体"/>
        </w:rPr>
      </w:pPr>
      <w:r>
        <w:rPr>
          <w:rFonts w:hint="eastAsia" w:ascii="宋体" w:hAnsi="宋体" w:cs="宋体"/>
        </w:rPr>
        <w:t>① 9.5.1用户输入安全审查</w:t>
      </w:r>
    </w:p>
    <w:p w14:paraId="51566195">
      <w:pPr>
        <w:pStyle w:val="42"/>
        <w:spacing w:line="360" w:lineRule="auto"/>
        <w:ind w:firstLine="480" w:firstLineChars="200"/>
        <w:rPr>
          <w:rFonts w:hint="eastAsia" w:ascii="宋体" w:hAnsi="宋体" w:cs="宋体"/>
        </w:rPr>
      </w:pPr>
      <w:r>
        <w:rPr>
          <w:rFonts w:hint="eastAsia" w:ascii="宋体" w:hAnsi="宋体" w:cs="宋体"/>
        </w:rPr>
        <w:t>本条规定应对用户输入内容进行安全审查，过滤恶意输入。其编制依据如下：</w:t>
      </w:r>
    </w:p>
    <w:p w14:paraId="79EA7993">
      <w:pPr>
        <w:pStyle w:val="42"/>
        <w:spacing w:line="360" w:lineRule="auto"/>
        <w:ind w:firstLine="480" w:firstLineChars="200"/>
        <w:rPr>
          <w:rFonts w:hint="eastAsia" w:ascii="宋体" w:hAnsi="宋体" w:cs="宋体"/>
        </w:rPr>
      </w:pPr>
      <w:r>
        <w:rPr>
          <w:rFonts w:hint="eastAsia" w:ascii="宋体" w:hAnsi="宋体" w:cs="宋体"/>
        </w:rPr>
        <w:t>用户输入（如文本提问、上传的文档）可能包含恶意内容，如注入攻击代码（试图攻击系统）、误导性指令（诱导模型输出错误信息）或违规内容（如涉及敏感信息的查询）。对输入进行审查（如关键词过滤、格式校验、语义分析），可拦截恶意输入，防止其对模型行为产生不良引导（如模型被诱导输出危险维修建议）或攻击系统，保障模型运行环境与输出结果的安全性。</w:t>
      </w:r>
    </w:p>
    <w:p w14:paraId="3347048C">
      <w:pPr>
        <w:pStyle w:val="42"/>
        <w:spacing w:line="360" w:lineRule="auto"/>
        <w:ind w:firstLine="480" w:firstLineChars="200"/>
        <w:rPr>
          <w:rFonts w:hint="eastAsia" w:ascii="宋体" w:hAnsi="宋体" w:cs="宋体"/>
        </w:rPr>
      </w:pPr>
      <w:r>
        <w:rPr>
          <w:rFonts w:hint="eastAsia" w:ascii="宋体" w:hAnsi="宋体" w:cs="宋体"/>
        </w:rPr>
        <w:t>② 9.5.2模型输出安全性评估</w:t>
      </w:r>
    </w:p>
    <w:p w14:paraId="46864A59">
      <w:pPr>
        <w:pStyle w:val="42"/>
        <w:spacing w:line="360" w:lineRule="auto"/>
        <w:ind w:firstLine="480" w:firstLineChars="200"/>
        <w:rPr>
          <w:rFonts w:hint="eastAsia" w:ascii="宋体" w:hAnsi="宋体" w:cs="宋体"/>
        </w:rPr>
      </w:pPr>
      <w:r>
        <w:rPr>
          <w:rFonts w:hint="eastAsia" w:ascii="宋体" w:hAnsi="宋体" w:cs="宋体"/>
        </w:rPr>
        <w:t>本条规定应对模型输出进行安全性评估，确保符合安全要求与伦理标准。其编制依据如下：</w:t>
      </w:r>
    </w:p>
    <w:p w14:paraId="28DF09DB">
      <w:pPr>
        <w:pStyle w:val="42"/>
        <w:spacing w:line="360" w:lineRule="auto"/>
        <w:ind w:firstLine="480" w:firstLineChars="200"/>
        <w:rPr>
          <w:rFonts w:hint="eastAsia" w:ascii="宋体" w:hAnsi="宋体" w:cs="宋体"/>
        </w:rPr>
      </w:pPr>
      <w:r>
        <w:rPr>
          <w:rFonts w:hint="eastAsia" w:ascii="宋体" w:hAnsi="宋体" w:cs="宋体"/>
        </w:rPr>
        <w:t>模型输出结果直接指导港口设备运维决策（如故障处理步骤、维护操作规范），若输出内容不安全（如建议违规操作）或违背伦理（如泄露隐私信息），可能导致设备损坏、人员伤亡或合规风险。通过评估机制（如自动校验输出是否符合安全规程、是否包含敏感信息），可确保输出结果的安全性与合规性，避免因模型缺陷（如训练数据偏差）导致的不良后果。</w:t>
      </w:r>
    </w:p>
    <w:p w14:paraId="0F89E204">
      <w:pPr>
        <w:pStyle w:val="42"/>
        <w:spacing w:line="360" w:lineRule="auto"/>
        <w:ind w:firstLine="480" w:firstLineChars="200"/>
        <w:rPr>
          <w:rFonts w:hint="eastAsia" w:ascii="宋体" w:hAnsi="宋体" w:cs="宋体"/>
        </w:rPr>
      </w:pPr>
      <w:r>
        <w:rPr>
          <w:rFonts w:hint="eastAsia" w:ascii="宋体" w:hAnsi="宋体" w:cs="宋体"/>
        </w:rPr>
        <w:t>③ 9.5.3人为审查机制</w:t>
      </w:r>
    </w:p>
    <w:p w14:paraId="37B0638F">
      <w:pPr>
        <w:pStyle w:val="42"/>
        <w:spacing w:line="360" w:lineRule="auto"/>
        <w:ind w:firstLine="480" w:firstLineChars="200"/>
        <w:rPr>
          <w:rFonts w:hint="eastAsia" w:ascii="宋体" w:hAnsi="宋体" w:cs="宋体"/>
        </w:rPr>
      </w:pPr>
      <w:r>
        <w:rPr>
          <w:rFonts w:hint="eastAsia" w:ascii="宋体" w:hAnsi="宋体" w:cs="宋体"/>
        </w:rPr>
        <w:t>本条规定应引入人为审查机制，过滤潜在不合规输出。其编制依据如下：</w:t>
      </w:r>
    </w:p>
    <w:p w14:paraId="04E82FF5">
      <w:pPr>
        <w:pStyle w:val="42"/>
        <w:spacing w:line="360" w:lineRule="auto"/>
        <w:rPr>
          <w:rFonts w:hint="eastAsia" w:ascii="宋体" w:hAnsi="宋体" w:cs="宋体"/>
        </w:rPr>
      </w:pPr>
      <w:r>
        <w:rPr>
          <w:rFonts w:hint="eastAsia" w:ascii="宋体" w:hAnsi="宋体" w:cs="宋体"/>
        </w:rPr>
        <w:t>模型智能化水平存在局限性，可能因数据不足、场景复杂输出不准确或不合规的结果（如罕见故障的误判）。人为审查（如由资深运维专家对高风险输出进行复核）可作为机器评估的补充，对模型输出进行最终把关，修正错误结论，确保提供给用户的信息安全可靠，尤其在涉及设备安全运行、人员操作规范的关键场景中，人为审查是避免风险的重要保障，形成“机器辅助+人工决策”的双重安全防线。</w:t>
      </w:r>
    </w:p>
    <w:p w14:paraId="5A8476A9">
      <w:pPr>
        <w:pStyle w:val="2"/>
        <w:spacing w:before="0" w:after="0" w:line="360" w:lineRule="auto"/>
        <w:ind w:firstLine="480" w:firstLineChars="200"/>
        <w:jc w:val="left"/>
        <w:rPr>
          <w:rFonts w:hint="eastAsia" w:ascii="宋体" w:hAnsi="宋体" w:cs="宋体"/>
          <w:sz w:val="24"/>
          <w:szCs w:val="24"/>
        </w:rPr>
      </w:pPr>
      <w:bookmarkStart w:id="9" w:name="_Toc486780489"/>
      <w:bookmarkStart w:id="10" w:name="_Toc205985403"/>
      <w:bookmarkStart w:id="11" w:name="_Toc205542433"/>
      <w:r>
        <w:rPr>
          <w:rFonts w:hint="eastAsia" w:ascii="宋体" w:hAnsi="宋体" w:cs="宋体"/>
          <w:sz w:val="24"/>
          <w:szCs w:val="24"/>
        </w:rPr>
        <w:t>三、</w:t>
      </w:r>
      <w:bookmarkEnd w:id="9"/>
      <w:r>
        <w:rPr>
          <w:rFonts w:hint="eastAsia" w:ascii="宋体" w:hAnsi="宋体" w:cs="宋体"/>
          <w:sz w:val="24"/>
          <w:szCs w:val="24"/>
        </w:rPr>
        <w:t>主要试验的分析综述报告、技术经济论证或预期的经济效果</w:t>
      </w:r>
      <w:bookmarkEnd w:id="10"/>
      <w:bookmarkEnd w:id="11"/>
    </w:p>
    <w:p w14:paraId="26C91520">
      <w:pPr>
        <w:pStyle w:val="3"/>
        <w:spacing w:before="0" w:after="0" w:line="360" w:lineRule="auto"/>
        <w:ind w:firstLine="480" w:firstLineChars="200"/>
        <w:rPr>
          <w:rFonts w:hint="eastAsia" w:ascii="宋体" w:hAnsi="宋体"/>
          <w:sz w:val="24"/>
          <w:szCs w:val="24"/>
        </w:rPr>
      </w:pPr>
      <w:r>
        <w:rPr>
          <w:rFonts w:hint="eastAsia" w:ascii="宋体" w:hAnsi="宋体"/>
          <w:sz w:val="24"/>
          <w:szCs w:val="24"/>
        </w:rPr>
        <w:t>（一）试验验证分析</w:t>
      </w:r>
    </w:p>
    <w:p w14:paraId="0B3C3D67">
      <w:pPr>
        <w:spacing w:line="360" w:lineRule="auto"/>
        <w:ind w:firstLine="480" w:firstLineChars="200"/>
        <w:rPr>
          <w:rFonts w:hint="eastAsia" w:ascii="宋体" w:hAnsi="宋体" w:cs="宋体"/>
          <w:sz w:val="24"/>
        </w:rPr>
      </w:pPr>
      <w:r>
        <w:rPr>
          <w:rFonts w:hint="eastAsia" w:ascii="宋体" w:hAnsi="宋体" w:cs="宋体"/>
          <w:sz w:val="24"/>
        </w:rPr>
        <w:t>为确保《港口自动化设备智能管理系统技术要求》的技术可行性与可靠性，本标准制定过程中选取典型港口场景（集装箱码头、干散货码头）及主流自动化设备（岸边集装箱起重机、自动导引车、堆料机等）开展了多维度试验验证，通过实际场景测试与数据验证，确认标准中 “一般要求”“功能要求”“数据管理”“算法模型”“安全与保护” 等核心章节的技术要求是否满足港口自动化设备管理的实际需求，是否具备技术可行性，是否能有效提升设备管理效率与安全性。通过试验验证，形成以下分析结论：</w:t>
      </w:r>
    </w:p>
    <w:p w14:paraId="210C448E">
      <w:pPr>
        <w:spacing w:line="360" w:lineRule="auto"/>
        <w:ind w:firstLine="480" w:firstLineChars="200"/>
        <w:rPr>
          <w:rFonts w:hint="eastAsia" w:ascii="宋体" w:hAnsi="宋体" w:cs="宋体"/>
          <w:sz w:val="24"/>
        </w:rPr>
      </w:pPr>
      <w:r>
        <w:rPr>
          <w:rFonts w:hint="eastAsia" w:ascii="宋体" w:hAnsi="宋体" w:cs="宋体"/>
          <w:sz w:val="24"/>
        </w:rPr>
        <w:t>（1）功能要求验证</w:t>
      </w:r>
    </w:p>
    <w:p w14:paraId="6EAEAE89">
      <w:pPr>
        <w:spacing w:line="360" w:lineRule="auto"/>
        <w:ind w:firstLine="480" w:firstLineChars="200"/>
        <w:rPr>
          <w:rFonts w:hint="eastAsia" w:ascii="宋体" w:hAnsi="宋体" w:cs="宋体"/>
          <w:sz w:val="24"/>
        </w:rPr>
      </w:pPr>
      <w:r>
        <w:rPr>
          <w:rFonts w:hint="eastAsia" w:ascii="宋体" w:hAnsi="宋体" w:cs="宋体"/>
          <w:sz w:val="24"/>
        </w:rPr>
        <w:t>① 状态监测</w:t>
      </w:r>
    </w:p>
    <w:p w14:paraId="3E6AAB64">
      <w:pPr>
        <w:spacing w:line="360" w:lineRule="auto"/>
        <w:ind w:firstLine="480" w:firstLineChars="200"/>
        <w:rPr>
          <w:rFonts w:hint="eastAsia" w:ascii="宋体" w:hAnsi="宋体" w:cs="宋体"/>
          <w:sz w:val="24"/>
        </w:rPr>
      </w:pPr>
      <w:r>
        <w:rPr>
          <w:rFonts w:hint="eastAsia" w:ascii="宋体" w:hAnsi="宋体" w:cs="宋体"/>
          <w:sz w:val="24"/>
        </w:rPr>
        <w:t>试验中通过分布式光纤传感技术监测岸桥结构应变、红外测温技术采集电机温度，数据采集准确率达 98.7%，与人工巡检结果偏差≤2%；支持按设备类型设置监测周期（如 AGV 每 5s 采集一次位置数据，堆料机每 30s 采集一次液压参数），符合实际运维需求。</w:t>
      </w:r>
    </w:p>
    <w:p w14:paraId="1D3DEB47">
      <w:pPr>
        <w:spacing w:line="360" w:lineRule="auto"/>
        <w:ind w:firstLine="480" w:firstLineChars="200"/>
        <w:rPr>
          <w:rFonts w:hint="eastAsia" w:ascii="宋体" w:hAnsi="宋体" w:cs="宋体"/>
          <w:sz w:val="24"/>
        </w:rPr>
      </w:pPr>
      <w:r>
        <w:rPr>
          <w:rFonts w:hint="eastAsia" w:ascii="宋体" w:hAnsi="宋体" w:cs="宋体"/>
          <w:sz w:val="24"/>
        </w:rPr>
        <w:t>② 故障诊断</w:t>
      </w:r>
    </w:p>
    <w:p w14:paraId="6B77D55D">
      <w:pPr>
        <w:spacing w:line="360" w:lineRule="auto"/>
        <w:ind w:firstLine="480" w:firstLineChars="200"/>
        <w:rPr>
          <w:rFonts w:hint="eastAsia" w:ascii="宋体" w:hAnsi="宋体" w:cs="宋体"/>
          <w:sz w:val="24"/>
        </w:rPr>
      </w:pPr>
      <w:r>
        <w:rPr>
          <w:rFonts w:hint="eastAsia" w:ascii="宋体" w:hAnsi="宋体" w:cs="宋体"/>
          <w:sz w:val="24"/>
        </w:rPr>
        <w:t>模拟 100 种常见故障（机械故障 60 种、电气故障 30 种、软件故障 10 种），系统通过关联设备电子档案与专家知识库，诊断准确率达 85.3%；对 10 种未知故障（如新型传感器通信异常），系统均能触发提示并推送至运维人员，符合标准 “兼容未知故障类型” 的要求。</w:t>
      </w:r>
    </w:p>
    <w:p w14:paraId="6F413111">
      <w:pPr>
        <w:spacing w:line="360" w:lineRule="auto"/>
        <w:ind w:firstLine="480" w:firstLineChars="200"/>
        <w:rPr>
          <w:rFonts w:hint="eastAsia" w:ascii="宋体" w:hAnsi="宋体" w:cs="宋体"/>
          <w:sz w:val="24"/>
        </w:rPr>
      </w:pPr>
      <w:r>
        <w:rPr>
          <w:rFonts w:hint="eastAsia" w:ascii="宋体" w:hAnsi="宋体" w:cs="宋体"/>
          <w:sz w:val="24"/>
        </w:rPr>
        <w:t>③ 预防性维护计划</w:t>
      </w:r>
    </w:p>
    <w:p w14:paraId="330442C0">
      <w:pPr>
        <w:spacing w:line="360" w:lineRule="auto"/>
        <w:ind w:firstLine="480" w:firstLineChars="200"/>
        <w:rPr>
          <w:rFonts w:hint="eastAsia" w:ascii="宋体" w:hAnsi="宋体" w:cs="宋体"/>
          <w:sz w:val="24"/>
        </w:rPr>
      </w:pPr>
      <w:r>
        <w:rPr>
          <w:rFonts w:hint="eastAsia" w:ascii="宋体" w:hAnsi="宋体" w:cs="宋体"/>
          <w:sz w:val="24"/>
        </w:rPr>
        <w:t>基于设备状态数据（如电机振动趋势）与故障数据，系统生成的维护计划与专家人工制定计划的匹配度达 82%；支持远程查看与动态调整，当监测到设备隐患（如轴承磨损超标）时，计划修订响应时间≤5min，满足实时性要求。</w:t>
      </w:r>
    </w:p>
    <w:p w14:paraId="4581970B">
      <w:pPr>
        <w:spacing w:line="360" w:lineRule="auto"/>
        <w:ind w:firstLine="480" w:firstLineChars="200"/>
        <w:rPr>
          <w:rFonts w:hint="eastAsia" w:ascii="宋体" w:hAnsi="宋体" w:cs="宋体"/>
          <w:sz w:val="24"/>
        </w:rPr>
      </w:pPr>
      <w:r>
        <w:rPr>
          <w:rFonts w:hint="eastAsia" w:ascii="宋体" w:hAnsi="宋体" w:cs="宋体"/>
          <w:sz w:val="24"/>
        </w:rPr>
        <w:t>（2）性能要求验证</w:t>
      </w:r>
    </w:p>
    <w:p w14:paraId="178C4BED">
      <w:pPr>
        <w:spacing w:line="360" w:lineRule="auto"/>
        <w:ind w:firstLine="480" w:firstLineChars="200"/>
        <w:rPr>
          <w:rFonts w:hint="eastAsia" w:ascii="宋体" w:hAnsi="宋体" w:cs="宋体"/>
          <w:sz w:val="24"/>
        </w:rPr>
      </w:pPr>
      <w:r>
        <w:rPr>
          <w:rFonts w:hint="eastAsia" w:ascii="宋体" w:hAnsi="宋体" w:cs="宋体"/>
          <w:sz w:val="24"/>
        </w:rPr>
        <w:t>① 智能交互性能</w:t>
      </w:r>
    </w:p>
    <w:p w14:paraId="7C498F26">
      <w:pPr>
        <w:spacing w:line="360" w:lineRule="auto"/>
        <w:ind w:firstLine="480" w:firstLineChars="200"/>
        <w:rPr>
          <w:rFonts w:hint="eastAsia" w:ascii="宋体" w:hAnsi="宋体" w:cs="宋体"/>
          <w:sz w:val="24"/>
        </w:rPr>
      </w:pPr>
      <w:r>
        <w:rPr>
          <w:rFonts w:hint="eastAsia" w:ascii="宋体" w:hAnsi="宋体" w:cs="宋体"/>
          <w:sz w:val="24"/>
        </w:rPr>
        <w:t>测试 500 次高频问题查询（如 “岸桥润滑周期”），直接选择预设问题的平均响应时间 0.3s，较文本输入提问效率提升 60%；多轮对话场景中，用户意图识别率达 87%，符合标准 “减少交互冗余” 的设计目标。</w:t>
      </w:r>
    </w:p>
    <w:p w14:paraId="2D058CA8">
      <w:pPr>
        <w:spacing w:line="360" w:lineRule="auto"/>
        <w:ind w:firstLine="480" w:firstLineChars="200"/>
        <w:rPr>
          <w:rFonts w:hint="eastAsia" w:ascii="宋体" w:hAnsi="宋体" w:cs="宋体"/>
          <w:sz w:val="24"/>
        </w:rPr>
      </w:pPr>
      <w:r>
        <w:rPr>
          <w:rFonts w:hint="eastAsia" w:ascii="宋体" w:hAnsi="宋体" w:cs="宋体"/>
          <w:sz w:val="24"/>
        </w:rPr>
        <w:t>② 算法模型性能</w:t>
      </w:r>
    </w:p>
    <w:p w14:paraId="48F1D994">
      <w:pPr>
        <w:spacing w:line="360" w:lineRule="auto"/>
        <w:ind w:firstLine="480" w:firstLineChars="200"/>
        <w:rPr>
          <w:rFonts w:hint="eastAsia" w:ascii="宋体" w:hAnsi="宋体" w:cs="宋体"/>
          <w:sz w:val="24"/>
        </w:rPr>
      </w:pPr>
      <w:r>
        <w:rPr>
          <w:rFonts w:hint="eastAsia" w:ascii="宋体" w:hAnsi="宋体" w:cs="宋体"/>
          <w:sz w:val="24"/>
        </w:rPr>
        <w:t>设备参数问答覆盖率达 83%（覆盖测试设备的 80% 以上），准确率 86.5%；故障诊断方案可信度 81.2%；简单问题首响应时间 0.7s，复杂问题（如多故障关联分析）响应时间 3.8s；100 用户并发请求下系统无卡顿，MTTR（平均故障恢复时间）25min，均满足标准指标要求。</w:t>
      </w:r>
    </w:p>
    <w:p w14:paraId="0134E6B9">
      <w:pPr>
        <w:spacing w:line="360" w:lineRule="auto"/>
        <w:ind w:firstLine="480" w:firstLineChars="200"/>
        <w:rPr>
          <w:rFonts w:hint="eastAsia" w:ascii="宋体" w:hAnsi="宋体" w:cs="宋体"/>
          <w:sz w:val="24"/>
        </w:rPr>
      </w:pPr>
      <w:r>
        <w:rPr>
          <w:rFonts w:hint="eastAsia" w:ascii="宋体" w:hAnsi="宋体" w:cs="宋体"/>
          <w:sz w:val="24"/>
        </w:rPr>
        <w:t>（3）数据管理验证</w:t>
      </w:r>
    </w:p>
    <w:p w14:paraId="65840685">
      <w:pPr>
        <w:spacing w:line="360" w:lineRule="auto"/>
        <w:ind w:firstLine="480" w:firstLineChars="200"/>
        <w:rPr>
          <w:rFonts w:hint="eastAsia" w:ascii="宋体" w:hAnsi="宋体" w:cs="宋体"/>
          <w:sz w:val="24"/>
        </w:rPr>
      </w:pPr>
      <w:r>
        <w:rPr>
          <w:rFonts w:hint="eastAsia" w:ascii="宋体" w:hAnsi="宋体" w:cs="宋体"/>
          <w:sz w:val="24"/>
        </w:rPr>
        <w:t>① 数据采集与传输</w:t>
      </w:r>
    </w:p>
    <w:p w14:paraId="14FB08D1">
      <w:pPr>
        <w:spacing w:line="360" w:lineRule="auto"/>
        <w:ind w:firstLine="480" w:firstLineChars="200"/>
        <w:rPr>
          <w:rFonts w:hint="eastAsia" w:ascii="宋体" w:hAnsi="宋体" w:cs="宋体"/>
          <w:sz w:val="24"/>
        </w:rPr>
      </w:pPr>
      <w:r>
        <w:rPr>
          <w:rFonts w:hint="eastAsia" w:ascii="宋体" w:hAnsi="宋体" w:cs="宋体"/>
          <w:sz w:val="24"/>
        </w:rPr>
        <w:t>支持 CSV、PDF、XML 等格式数据接入，多源异构数据（传感器、视频、手册）的整合成功率达 95%；通过 5G 无线传输与光纤有线传输的平均时延分别为 0.2s、0.05s，协议适配转换（如 Modbus 转 MQTT）成功率 100%，满足实时性与兼容性要求。</w:t>
      </w:r>
    </w:p>
    <w:p w14:paraId="7D8DF976">
      <w:pPr>
        <w:spacing w:line="360" w:lineRule="auto"/>
        <w:ind w:firstLine="480" w:firstLineChars="200"/>
        <w:rPr>
          <w:rFonts w:hint="eastAsia" w:ascii="宋体" w:hAnsi="宋体" w:cs="宋体"/>
          <w:sz w:val="24"/>
        </w:rPr>
      </w:pPr>
      <w:r>
        <w:rPr>
          <w:rFonts w:hint="eastAsia" w:ascii="宋体" w:hAnsi="宋体" w:cs="宋体"/>
          <w:sz w:val="24"/>
        </w:rPr>
        <w:t>② 数据存储与分析</w:t>
      </w:r>
    </w:p>
    <w:p w14:paraId="4AA82545">
      <w:pPr>
        <w:spacing w:line="360" w:lineRule="auto"/>
        <w:ind w:firstLine="480" w:firstLineChars="200"/>
        <w:rPr>
          <w:rFonts w:hint="eastAsia" w:ascii="宋体" w:hAnsi="宋体" w:cs="宋体"/>
          <w:sz w:val="24"/>
        </w:rPr>
      </w:pPr>
      <w:r>
        <w:rPr>
          <w:rFonts w:hint="eastAsia" w:ascii="宋体" w:hAnsi="宋体" w:cs="宋体"/>
          <w:sz w:val="24"/>
        </w:rPr>
        <w:t>采用 Hadoop HDFS 存储海量历史数据（10TB），读写速度达 100MB/s；冷热数据分离策略使热数据访问速度提升 40%；异常数据处理（如缺失值填充、降噪）后，数据分析结果与原始真实数据偏差≤3%，保障了后续决策的可靠性。</w:t>
      </w:r>
    </w:p>
    <w:p w14:paraId="2FAA9638">
      <w:pPr>
        <w:spacing w:line="360" w:lineRule="auto"/>
        <w:ind w:firstLine="480" w:firstLineChars="200"/>
        <w:rPr>
          <w:rFonts w:hint="eastAsia" w:ascii="宋体" w:hAnsi="宋体" w:cs="宋体"/>
          <w:sz w:val="24"/>
        </w:rPr>
      </w:pPr>
      <w:r>
        <w:rPr>
          <w:rFonts w:hint="eastAsia" w:ascii="宋体" w:hAnsi="宋体" w:cs="宋体"/>
          <w:sz w:val="24"/>
        </w:rPr>
        <w:t>（4）安全与保护验证</w:t>
      </w:r>
    </w:p>
    <w:p w14:paraId="3E51A721">
      <w:pPr>
        <w:spacing w:line="360" w:lineRule="auto"/>
        <w:ind w:firstLine="480" w:firstLineChars="200"/>
        <w:rPr>
          <w:rFonts w:hint="eastAsia" w:ascii="宋体" w:hAnsi="宋体" w:cs="宋体"/>
          <w:sz w:val="24"/>
        </w:rPr>
      </w:pPr>
      <w:r>
        <w:rPr>
          <w:rFonts w:hint="eastAsia" w:ascii="宋体" w:hAnsi="宋体" w:cs="宋体"/>
          <w:sz w:val="24"/>
        </w:rPr>
        <w:t>① 数据加密与访问控制</w:t>
      </w:r>
    </w:p>
    <w:p w14:paraId="5D856D16">
      <w:pPr>
        <w:spacing w:line="360" w:lineRule="auto"/>
        <w:ind w:firstLine="480" w:firstLineChars="200"/>
        <w:rPr>
          <w:rFonts w:hint="eastAsia" w:ascii="宋体" w:hAnsi="宋体" w:cs="宋体"/>
          <w:sz w:val="24"/>
        </w:rPr>
      </w:pPr>
      <w:r>
        <w:rPr>
          <w:rFonts w:hint="eastAsia" w:ascii="宋体" w:hAnsi="宋体" w:cs="宋体"/>
          <w:sz w:val="24"/>
        </w:rPr>
        <w:t>TLS/SSL 传输加密下，数据截获破解尝试均失败；AES 加密存储的敏感数据（如设备设计参数）未出现泄露；多因素认证（密码 + 动态验证码）使非法登录成功率降至 0，基于角色的权限分配有效限制了数据访问范围（如运维员无法修改管理员配置）。</w:t>
      </w:r>
    </w:p>
    <w:p w14:paraId="62B6C57F">
      <w:pPr>
        <w:spacing w:line="360" w:lineRule="auto"/>
        <w:ind w:firstLine="480" w:firstLineChars="200"/>
        <w:rPr>
          <w:rFonts w:hint="eastAsia" w:ascii="宋体" w:hAnsi="宋体" w:cs="宋体"/>
          <w:sz w:val="24"/>
        </w:rPr>
      </w:pPr>
      <w:r>
        <w:rPr>
          <w:rFonts w:hint="eastAsia" w:ascii="宋体" w:hAnsi="宋体" w:cs="宋体"/>
          <w:sz w:val="24"/>
        </w:rPr>
        <w:t>② 模型与输出安全</w:t>
      </w:r>
    </w:p>
    <w:p w14:paraId="18C3978B">
      <w:pPr>
        <w:spacing w:line="360" w:lineRule="auto"/>
        <w:ind w:firstLine="480" w:firstLineChars="200"/>
        <w:rPr>
          <w:rFonts w:hint="eastAsia" w:ascii="宋体" w:hAnsi="宋体" w:cs="宋体"/>
          <w:sz w:val="24"/>
        </w:rPr>
      </w:pPr>
      <w:r>
        <w:rPr>
          <w:rFonts w:hint="eastAsia" w:ascii="宋体" w:hAnsi="宋体" w:cs="宋体"/>
          <w:sz w:val="24"/>
        </w:rPr>
        <w:t>模型训练环境经安全加固后，成功抵御8次模拟攻击（如数据注入、权限越权）；用户输入审查过滤了12条恶意内容（如攻击指令）；模型输出经人为审查后，不合规建议（如违规操作步骤）修正率达100%，符合安全与伦理要求。</w:t>
      </w:r>
    </w:p>
    <w:p w14:paraId="22997362">
      <w:pPr>
        <w:pStyle w:val="3"/>
        <w:spacing w:before="0" w:after="0" w:line="360" w:lineRule="auto"/>
        <w:ind w:firstLine="480" w:firstLineChars="200"/>
        <w:rPr>
          <w:rFonts w:hint="eastAsia" w:ascii="宋体" w:hAnsi="宋体"/>
          <w:sz w:val="24"/>
          <w:szCs w:val="24"/>
        </w:rPr>
      </w:pPr>
      <w:r>
        <w:rPr>
          <w:rFonts w:hint="eastAsia" w:ascii="宋体" w:hAnsi="宋体"/>
          <w:sz w:val="24"/>
          <w:szCs w:val="24"/>
        </w:rPr>
        <w:t>（二）预期经济效益分析</w:t>
      </w:r>
    </w:p>
    <w:p w14:paraId="73EC3FCE">
      <w:pPr>
        <w:spacing w:line="360" w:lineRule="auto"/>
        <w:ind w:firstLine="480" w:firstLineChars="200"/>
        <w:rPr>
          <w:rFonts w:hint="eastAsia" w:ascii="宋体" w:hAnsi="宋体" w:cs="宋体"/>
          <w:sz w:val="24"/>
        </w:rPr>
      </w:pPr>
      <w:r>
        <w:rPr>
          <w:rFonts w:hint="eastAsia" w:ascii="宋体" w:hAnsi="宋体" w:cs="宋体"/>
          <w:sz w:val="24"/>
        </w:rPr>
        <w:t>本标准的制定与实施，旨在通过规范港口自动化设备智能管理系统的技术要求，推动系统在功能完整性、性能可靠性、安全可控性等方面形成统一标准，进而降低港口设备管理成本、提升运营效率、优化资源配置，产生显著的直接与间接经济效益。结合行业实践与试验验证数据，其经济效果分析如下：</w:t>
      </w:r>
    </w:p>
    <w:p w14:paraId="4958AD6F">
      <w:pPr>
        <w:spacing w:line="360" w:lineRule="auto"/>
        <w:ind w:firstLine="480" w:firstLineChars="200"/>
        <w:rPr>
          <w:rFonts w:hint="eastAsia" w:ascii="宋体" w:hAnsi="宋体" w:cs="宋体"/>
          <w:b/>
          <w:bCs/>
          <w:sz w:val="24"/>
        </w:rPr>
      </w:pPr>
      <w:r>
        <w:rPr>
          <w:rFonts w:hint="eastAsia" w:ascii="宋体" w:hAnsi="宋体" w:cs="宋体"/>
          <w:b/>
          <w:bCs/>
          <w:sz w:val="24"/>
        </w:rPr>
        <w:t>1.直接经济效益：成本节约与资源优化</w:t>
      </w:r>
    </w:p>
    <w:p w14:paraId="6A024EDE">
      <w:pPr>
        <w:spacing w:line="360" w:lineRule="auto"/>
        <w:ind w:firstLine="480" w:firstLineChars="200"/>
        <w:rPr>
          <w:rFonts w:hint="eastAsia" w:ascii="宋体" w:hAnsi="宋体" w:cs="宋体"/>
          <w:sz w:val="24"/>
        </w:rPr>
      </w:pPr>
      <w:r>
        <w:rPr>
          <w:rFonts w:hint="eastAsia" w:ascii="宋体" w:hAnsi="宋体" w:cs="宋体"/>
          <w:sz w:val="24"/>
        </w:rPr>
        <w:t>（1）运维成本显著降低</w:t>
      </w:r>
    </w:p>
    <w:p w14:paraId="759888CA">
      <w:pPr>
        <w:spacing w:line="360" w:lineRule="auto"/>
        <w:ind w:firstLine="480" w:firstLineChars="200"/>
        <w:rPr>
          <w:rFonts w:hint="eastAsia" w:ascii="宋体" w:hAnsi="宋体" w:cs="宋体"/>
          <w:sz w:val="24"/>
        </w:rPr>
      </w:pPr>
      <w:r>
        <w:rPr>
          <w:rFonts w:hint="eastAsia" w:ascii="宋体" w:hAnsi="宋体" w:cs="宋体"/>
          <w:sz w:val="24"/>
        </w:rPr>
        <w:t>传统港口设备管理依赖人工巡检、经验判断，存在“过度维护”（如按固定周期保养，忽视设备实际状态）与“维护不足”（如故障后被动维修）并存的问题，导致运维成本居高不下。</w:t>
      </w:r>
    </w:p>
    <w:p w14:paraId="77C4AE08">
      <w:pPr>
        <w:pStyle w:val="42"/>
        <w:numPr>
          <w:ilvl w:val="0"/>
          <w:numId w:val="5"/>
        </w:numPr>
        <w:spacing w:line="360" w:lineRule="auto"/>
        <w:ind w:left="0" w:firstLine="481"/>
        <w:rPr>
          <w:rFonts w:hint="eastAsia" w:ascii="宋体" w:hAnsi="宋体" w:cs="宋体"/>
        </w:rPr>
      </w:pPr>
      <w:r>
        <w:rPr>
          <w:rFonts w:hint="eastAsia" w:ascii="宋体" w:hAnsi="宋体" w:cs="宋体"/>
        </w:rPr>
        <w:t>人工成本节约：标准规范的智能管理系统（如状态监测、故障预警功能）可减少70%以上的人工巡检工作量。以年吞吐量1000万TEU的集装箱码头为例，传统模式需20-30人专职巡检，采用系统后可精简至5-8人，年节约人力成本约300-500万元。</w:t>
      </w:r>
    </w:p>
    <w:p w14:paraId="4F556476">
      <w:pPr>
        <w:pStyle w:val="42"/>
        <w:numPr>
          <w:ilvl w:val="0"/>
          <w:numId w:val="5"/>
        </w:numPr>
        <w:spacing w:line="360" w:lineRule="auto"/>
        <w:ind w:left="0" w:firstLine="481"/>
        <w:rPr>
          <w:rFonts w:hint="eastAsia" w:ascii="宋体" w:hAnsi="宋体" w:cs="宋体"/>
        </w:rPr>
      </w:pPr>
      <w:r>
        <w:rPr>
          <w:rFonts w:hint="eastAsia" w:ascii="宋体" w:hAnsi="宋体" w:cs="宋体"/>
        </w:rPr>
        <w:t>维修成本降低：通过故障诊断支持与维修方案生成功能（第6.2、6.5条），故障排查时间缩短60%-80%（从平均4小时缩短至0.8-1.6小时），减少因故障导致的设备闲置损耗；同时，基于状态的预防性维护可降低30%的非计划维修成本，避免“一刀切”式保养造成的备件浪费。某试验港口数据显示，系统应用后年维修成本从2000万元降至1300万元，降幅达35%。</w:t>
      </w:r>
    </w:p>
    <w:p w14:paraId="19FBF0F1">
      <w:pPr>
        <w:spacing w:line="360" w:lineRule="auto"/>
        <w:ind w:firstLine="480" w:firstLineChars="200"/>
        <w:rPr>
          <w:rFonts w:hint="eastAsia" w:ascii="宋体" w:hAnsi="宋体" w:cs="宋体"/>
          <w:sz w:val="24"/>
        </w:rPr>
      </w:pPr>
      <w:r>
        <w:rPr>
          <w:rFonts w:hint="eastAsia" w:ascii="宋体" w:hAnsi="宋体" w:cs="宋体"/>
          <w:sz w:val="24"/>
        </w:rPr>
        <w:t>（2）备件库存成本优化</w:t>
      </w:r>
    </w:p>
    <w:p w14:paraId="7156FA81">
      <w:pPr>
        <w:spacing w:line="360" w:lineRule="auto"/>
        <w:ind w:firstLine="480" w:firstLineChars="200"/>
        <w:rPr>
          <w:rFonts w:hint="eastAsia" w:ascii="宋体" w:hAnsi="宋体" w:cs="宋体"/>
          <w:sz w:val="24"/>
        </w:rPr>
      </w:pPr>
      <w:r>
        <w:rPr>
          <w:rFonts w:hint="eastAsia" w:ascii="宋体" w:hAnsi="宋体" w:cs="宋体"/>
          <w:sz w:val="24"/>
        </w:rPr>
        <w:t>港口备件种类繁多（如轴承、传感器、液压元件等），传统管理依赖经验采购，易出现“库存积压”（资金占用）或“库存短缺”（停机待件）。标准规范的备件智能化管理功能，通过历史消耗数据与设备状态预测需求，实现“按需储备”：</w:t>
      </w:r>
    </w:p>
    <w:p w14:paraId="30D52678">
      <w:pPr>
        <w:pStyle w:val="42"/>
        <w:numPr>
          <w:ilvl w:val="0"/>
          <w:numId w:val="5"/>
        </w:numPr>
        <w:spacing w:line="360" w:lineRule="auto"/>
        <w:ind w:left="0" w:firstLine="481"/>
        <w:rPr>
          <w:rFonts w:hint="eastAsia" w:ascii="宋体" w:hAnsi="宋体" w:cs="宋体"/>
        </w:rPr>
      </w:pPr>
      <w:r>
        <w:rPr>
          <w:rFonts w:hint="eastAsia" w:ascii="宋体" w:hAnsi="宋体" w:cs="宋体"/>
        </w:rPr>
        <w:t>备件库存周转率提升40%-50%，积压资金减少20%-30%。某干散货码头应用后，备件库存金额从8000万元降至5600万元，释放资金2400万元，按年贷款利率4%计算，年节约财务成本约96万元。</w:t>
      </w:r>
    </w:p>
    <w:p w14:paraId="7C3189F4">
      <w:pPr>
        <w:pStyle w:val="42"/>
        <w:numPr>
          <w:ilvl w:val="0"/>
          <w:numId w:val="5"/>
        </w:numPr>
        <w:spacing w:line="360" w:lineRule="auto"/>
        <w:ind w:left="0" w:firstLine="481"/>
        <w:rPr>
          <w:rFonts w:hint="eastAsia" w:ascii="宋体" w:hAnsi="宋体" w:cs="宋体"/>
        </w:rPr>
      </w:pPr>
      <w:r>
        <w:rPr>
          <w:rFonts w:hint="eastAsia" w:ascii="宋体" w:hAnsi="宋体" w:cs="宋体"/>
        </w:rPr>
        <w:t>因备件短缺导致的停机时间减少80%，单次停机损失（如船舶滞期费、作业延误）从平均50万元降至10万元，年减少损失约200-300万元。</w:t>
      </w:r>
    </w:p>
    <w:p w14:paraId="138656F8">
      <w:pPr>
        <w:spacing w:line="360" w:lineRule="auto"/>
        <w:ind w:firstLine="480" w:firstLineChars="200"/>
        <w:rPr>
          <w:rFonts w:hint="eastAsia" w:ascii="宋体" w:hAnsi="宋体" w:cs="宋体"/>
          <w:sz w:val="24"/>
        </w:rPr>
      </w:pPr>
      <w:r>
        <w:rPr>
          <w:rFonts w:hint="eastAsia" w:ascii="宋体" w:hAnsi="宋体" w:cs="宋体"/>
          <w:sz w:val="24"/>
        </w:rPr>
        <w:t>（3）能源与资源消耗减少</w:t>
      </w:r>
    </w:p>
    <w:p w14:paraId="23C32F5A">
      <w:pPr>
        <w:spacing w:line="360" w:lineRule="auto"/>
        <w:ind w:firstLine="480" w:firstLineChars="200"/>
        <w:rPr>
          <w:rFonts w:hint="eastAsia" w:ascii="宋体" w:hAnsi="宋体" w:cs="宋体"/>
          <w:sz w:val="24"/>
        </w:rPr>
      </w:pPr>
      <w:r>
        <w:rPr>
          <w:rFonts w:hint="eastAsia" w:ascii="宋体" w:hAnsi="宋体" w:cs="宋体"/>
          <w:sz w:val="24"/>
        </w:rPr>
        <w:t>标准要求的状态监测与设备隐患排查可优化设备运行参数，减少能源浪费：</w:t>
      </w:r>
    </w:p>
    <w:p w14:paraId="11FC5F92">
      <w:pPr>
        <w:pStyle w:val="42"/>
        <w:numPr>
          <w:ilvl w:val="0"/>
          <w:numId w:val="5"/>
        </w:numPr>
        <w:spacing w:line="360" w:lineRule="auto"/>
        <w:ind w:left="0" w:firstLine="481"/>
        <w:rPr>
          <w:rFonts w:hint="eastAsia" w:ascii="宋体" w:hAnsi="宋体" w:cs="宋体"/>
        </w:rPr>
      </w:pPr>
      <w:r>
        <w:rPr>
          <w:rFonts w:hint="eastAsia" w:ascii="宋体" w:hAnsi="宋体" w:cs="宋体"/>
        </w:rPr>
        <w:t>通过监测电机负载、液压系统压力等参数，智能调整设备运行模式（如轻载时降速），港口主要设备（岸桥、堆料机等）能耗降低5%-10%。以年耗电量1亿度的港口为例，年节约电费约50-100万元（按工业电价0.5元/度计）。</w:t>
      </w:r>
    </w:p>
    <w:p w14:paraId="19EB2FA5">
      <w:pPr>
        <w:pStyle w:val="42"/>
        <w:numPr>
          <w:ilvl w:val="0"/>
          <w:numId w:val="5"/>
        </w:numPr>
        <w:spacing w:line="360" w:lineRule="auto"/>
        <w:ind w:left="0" w:firstLine="481"/>
        <w:rPr>
          <w:rFonts w:hint="eastAsia" w:ascii="宋体" w:hAnsi="宋体" w:cs="宋体"/>
        </w:rPr>
      </w:pPr>
      <w:r>
        <w:rPr>
          <w:rFonts w:hint="eastAsia" w:ascii="宋体" w:hAnsi="宋体" w:cs="宋体"/>
        </w:rPr>
        <w:t>隐患排查功能提前发现泄漏（如液压油、燃油）、部件磨损等问题，减少资源浪费。某港口数据显示，系统应用后年减少油品泄漏损失约30万元，设备部件重复利用率提升15%。</w:t>
      </w:r>
    </w:p>
    <w:p w14:paraId="6E8F8AFB">
      <w:pPr>
        <w:spacing w:line="360" w:lineRule="auto"/>
        <w:ind w:firstLine="480" w:firstLineChars="200"/>
        <w:rPr>
          <w:rFonts w:hint="eastAsia" w:ascii="宋体" w:hAnsi="宋体" w:cs="宋体"/>
          <w:b/>
          <w:bCs/>
          <w:sz w:val="24"/>
        </w:rPr>
      </w:pPr>
      <w:r>
        <w:rPr>
          <w:rFonts w:hint="eastAsia" w:ascii="宋体" w:hAnsi="宋体" w:cs="宋体"/>
          <w:b/>
          <w:bCs/>
          <w:sz w:val="24"/>
        </w:rPr>
        <w:t>2.间接经济效益：效率提升与价值增值</w:t>
      </w:r>
    </w:p>
    <w:p w14:paraId="13D3A850">
      <w:pPr>
        <w:spacing w:line="360" w:lineRule="auto"/>
        <w:ind w:firstLine="480" w:firstLineChars="200"/>
        <w:rPr>
          <w:rFonts w:hint="eastAsia" w:ascii="宋体" w:hAnsi="宋体" w:cs="宋体"/>
          <w:sz w:val="24"/>
        </w:rPr>
      </w:pPr>
      <w:r>
        <w:rPr>
          <w:rFonts w:hint="eastAsia" w:ascii="宋体" w:hAnsi="宋体" w:cs="宋体"/>
          <w:sz w:val="24"/>
        </w:rPr>
        <w:t>（1）设备利用率与港口吞吐量提升</w:t>
      </w:r>
    </w:p>
    <w:p w14:paraId="39ECB28B">
      <w:pPr>
        <w:spacing w:line="360" w:lineRule="auto"/>
        <w:ind w:firstLine="480" w:firstLineChars="200"/>
        <w:rPr>
          <w:rFonts w:hint="eastAsia" w:ascii="宋体" w:hAnsi="宋体" w:cs="宋体"/>
          <w:sz w:val="24"/>
        </w:rPr>
      </w:pPr>
      <w:r>
        <w:rPr>
          <w:rFonts w:hint="eastAsia" w:ascii="宋体" w:hAnsi="宋体" w:cs="宋体"/>
          <w:sz w:val="24"/>
        </w:rPr>
        <w:t>设备有效作业时间是港口吞吐量的核心保障。标准规范的系统通过减少故障停机与优化维护安排，显著提升设备利用率：</w:t>
      </w:r>
    </w:p>
    <w:p w14:paraId="488A6227">
      <w:pPr>
        <w:pStyle w:val="42"/>
        <w:numPr>
          <w:ilvl w:val="0"/>
          <w:numId w:val="5"/>
        </w:numPr>
        <w:spacing w:line="360" w:lineRule="auto"/>
        <w:ind w:left="0" w:firstLine="481"/>
        <w:rPr>
          <w:rFonts w:hint="eastAsia" w:ascii="宋体" w:hAnsi="宋体" w:cs="宋体"/>
        </w:rPr>
      </w:pPr>
      <w:r>
        <w:rPr>
          <w:rFonts w:hint="eastAsia" w:ascii="宋体" w:hAnsi="宋体" w:cs="宋体"/>
        </w:rPr>
        <w:t>非计划停机时间减少50%-70%：传统模式下港口关键设备（如岸桥）年非计划停机约100-150小时，系统应用后降至30-50小时，增加有效作业时间70-120小时。按岸桥每小时装卸30个集装箱计算，可多处理2100-3600个TEU，按每个TEU平均收益100元计，年增加收入21-36万元/台（按10台岸桥计，合计210-360万元）。</w:t>
      </w:r>
    </w:p>
    <w:p w14:paraId="7FE43BF8">
      <w:pPr>
        <w:pStyle w:val="42"/>
        <w:numPr>
          <w:ilvl w:val="0"/>
          <w:numId w:val="5"/>
        </w:numPr>
        <w:spacing w:line="360" w:lineRule="auto"/>
        <w:ind w:left="0" w:firstLine="481"/>
        <w:rPr>
          <w:rFonts w:hint="eastAsia" w:ascii="宋体" w:hAnsi="宋体" w:cs="宋体"/>
        </w:rPr>
      </w:pPr>
      <w:r>
        <w:rPr>
          <w:rFonts w:hint="eastAsia" w:ascii="宋体" w:hAnsi="宋体" w:cs="宋体"/>
        </w:rPr>
        <w:t>维护计划与作业计划协同：预防性维护计划动态调整功能可避开作业高峰安排维护，减少对生产的干扰。某港口数据显示，维护导致的作业延误时间从年80小时降至20小时，间接增加吞吐量约5万TEU，增收约500万元。</w:t>
      </w:r>
    </w:p>
    <w:p w14:paraId="71DD9612">
      <w:pPr>
        <w:spacing w:line="360" w:lineRule="auto"/>
        <w:ind w:firstLine="480" w:firstLineChars="200"/>
        <w:rPr>
          <w:rFonts w:hint="eastAsia" w:ascii="宋体" w:hAnsi="宋体" w:cs="宋体"/>
          <w:sz w:val="24"/>
        </w:rPr>
      </w:pPr>
      <w:r>
        <w:rPr>
          <w:rFonts w:hint="eastAsia" w:ascii="宋体" w:hAnsi="宋体" w:cs="宋体"/>
          <w:sz w:val="24"/>
        </w:rPr>
        <w:t>（2）决策效率与管理水平提升</w:t>
      </w:r>
    </w:p>
    <w:p w14:paraId="5CD32FD7">
      <w:pPr>
        <w:spacing w:line="360" w:lineRule="auto"/>
        <w:ind w:firstLine="480" w:firstLineChars="200"/>
        <w:rPr>
          <w:rFonts w:hint="eastAsia" w:ascii="宋体" w:hAnsi="宋体" w:cs="宋体"/>
          <w:sz w:val="24"/>
        </w:rPr>
      </w:pPr>
      <w:r>
        <w:rPr>
          <w:rFonts w:hint="eastAsia" w:ascii="宋体" w:hAnsi="宋体" w:cs="宋体"/>
          <w:sz w:val="24"/>
        </w:rPr>
        <w:t>标准统一的设备知识服务与智能交互服务，降低了对“资深专家”的依赖，提升管理决策效率：</w:t>
      </w:r>
    </w:p>
    <w:p w14:paraId="2CDF3C53">
      <w:pPr>
        <w:pStyle w:val="42"/>
        <w:numPr>
          <w:ilvl w:val="0"/>
          <w:numId w:val="5"/>
        </w:numPr>
        <w:spacing w:line="360" w:lineRule="auto"/>
        <w:ind w:left="0" w:firstLine="481"/>
        <w:rPr>
          <w:rFonts w:hint="eastAsia" w:ascii="宋体" w:hAnsi="宋体" w:cs="宋体"/>
        </w:rPr>
      </w:pPr>
      <w:r>
        <w:rPr>
          <w:rFonts w:hint="eastAsia" w:ascii="宋体" w:hAnsi="宋体" w:cs="宋体"/>
        </w:rPr>
        <w:t>新入职运维人员培训周期从6个月缩短至2个月，快速胜任岗位，减少因技能不足导致的决策失误（如误判故障原因）。</w:t>
      </w:r>
    </w:p>
    <w:p w14:paraId="0B1A013D">
      <w:pPr>
        <w:pStyle w:val="42"/>
        <w:numPr>
          <w:ilvl w:val="0"/>
          <w:numId w:val="5"/>
        </w:numPr>
        <w:spacing w:line="360" w:lineRule="auto"/>
        <w:ind w:left="0" w:firstLine="481"/>
        <w:rPr>
          <w:rFonts w:hint="eastAsia" w:ascii="宋体" w:hAnsi="宋体" w:cs="宋体"/>
        </w:rPr>
      </w:pPr>
      <w:r>
        <w:rPr>
          <w:rFonts w:hint="eastAsia" w:ascii="宋体" w:hAnsi="宋体" w:cs="宋体"/>
        </w:rPr>
        <w:t>跨部门协同效率提升：故障抢修调度通过可视化界面整合设备位置、抢修资源等信息，跨部门响应时间从30分钟缩短至10分钟，提升应急处理能力。</w:t>
      </w:r>
    </w:p>
    <w:p w14:paraId="7FAE46C4">
      <w:pPr>
        <w:spacing w:line="360" w:lineRule="auto"/>
        <w:ind w:firstLine="480" w:firstLineChars="200"/>
        <w:rPr>
          <w:rFonts w:hint="eastAsia" w:ascii="宋体" w:hAnsi="宋体" w:cs="宋体"/>
          <w:b/>
          <w:bCs/>
          <w:sz w:val="24"/>
        </w:rPr>
      </w:pPr>
      <w:r>
        <w:rPr>
          <w:rFonts w:hint="eastAsia" w:ascii="宋体" w:hAnsi="宋体" w:cs="宋体"/>
          <w:b/>
          <w:bCs/>
          <w:sz w:val="24"/>
        </w:rPr>
        <w:t>3.长期经济效益：资产增值与行业赋能</w:t>
      </w:r>
    </w:p>
    <w:p w14:paraId="5BDDC397">
      <w:pPr>
        <w:spacing w:line="360" w:lineRule="auto"/>
        <w:ind w:firstLine="480" w:firstLineChars="200"/>
        <w:rPr>
          <w:rFonts w:hint="eastAsia" w:ascii="宋体" w:hAnsi="宋体" w:cs="宋体"/>
          <w:sz w:val="24"/>
        </w:rPr>
      </w:pPr>
      <w:r>
        <w:rPr>
          <w:rFonts w:hint="eastAsia" w:ascii="宋体" w:hAnsi="宋体" w:cs="宋体"/>
          <w:sz w:val="24"/>
        </w:rPr>
        <w:t>（1）设备寿命延长，资本投入减少</w:t>
      </w:r>
    </w:p>
    <w:p w14:paraId="65A55165">
      <w:pPr>
        <w:spacing w:line="360" w:lineRule="auto"/>
        <w:ind w:firstLine="480" w:firstLineChars="200"/>
        <w:rPr>
          <w:rFonts w:hint="eastAsia" w:ascii="宋体" w:hAnsi="宋体" w:cs="宋体"/>
          <w:sz w:val="24"/>
        </w:rPr>
      </w:pPr>
      <w:r>
        <w:rPr>
          <w:rFonts w:hint="eastAsia" w:ascii="宋体" w:hAnsi="宋体" w:cs="宋体"/>
          <w:sz w:val="24"/>
        </w:rPr>
        <w:t>标准要求的全生命周期管理（如状态监测、预防性维护）可延长设备使用寿命5%-10%：</w:t>
      </w:r>
    </w:p>
    <w:p w14:paraId="12306BDB">
      <w:pPr>
        <w:spacing w:line="360" w:lineRule="auto"/>
        <w:ind w:firstLine="480" w:firstLineChars="200"/>
        <w:rPr>
          <w:rFonts w:hint="eastAsia" w:ascii="宋体" w:hAnsi="宋体" w:cs="宋体"/>
          <w:sz w:val="24"/>
        </w:rPr>
      </w:pPr>
      <w:r>
        <w:rPr>
          <w:rFonts w:hint="eastAsia" w:ascii="宋体" w:hAnsi="宋体" w:cs="宋体"/>
          <w:sz w:val="24"/>
        </w:rPr>
        <w:t>港口自动化设备（如岸桥、AGV）单台购置成本达数千万元，寿命延长1-2年可减少设备更新频率。以10台岸桥（单台5000万元，设计寿命20年）为例，寿命延长2年可减少资本投入5000万元（按10年折旧计，年节约折旧成本500万元）。</w:t>
      </w:r>
    </w:p>
    <w:p w14:paraId="66A67411">
      <w:pPr>
        <w:spacing w:line="360" w:lineRule="auto"/>
        <w:ind w:firstLine="480" w:firstLineChars="200"/>
        <w:rPr>
          <w:rFonts w:hint="eastAsia" w:ascii="宋体" w:hAnsi="宋体" w:cs="宋体"/>
          <w:sz w:val="24"/>
        </w:rPr>
      </w:pPr>
      <w:r>
        <w:rPr>
          <w:rFonts w:hint="eastAsia" w:ascii="宋体" w:hAnsi="宋体" w:cs="宋体"/>
          <w:sz w:val="24"/>
        </w:rPr>
        <w:t>（2）行业标准化带来的规模效应</w:t>
      </w:r>
    </w:p>
    <w:p w14:paraId="1ABFA345">
      <w:pPr>
        <w:spacing w:line="360" w:lineRule="auto"/>
        <w:ind w:firstLine="480" w:firstLineChars="200"/>
        <w:rPr>
          <w:rFonts w:hint="eastAsia" w:ascii="宋体" w:hAnsi="宋体" w:cs="宋体"/>
          <w:sz w:val="24"/>
        </w:rPr>
      </w:pPr>
      <w:r>
        <w:rPr>
          <w:rFonts w:hint="eastAsia" w:ascii="宋体" w:hAnsi="宋体" w:cs="宋体"/>
          <w:sz w:val="24"/>
        </w:rPr>
        <w:t>本标准统一了港口自动化设备智能管理系统的技术要求（如数据格式、接口规范、性能指标），打破“各港口自建系统、标准不一”的壁垒：</w:t>
      </w:r>
    </w:p>
    <w:p w14:paraId="44E7418B">
      <w:pPr>
        <w:pStyle w:val="42"/>
        <w:numPr>
          <w:ilvl w:val="0"/>
          <w:numId w:val="5"/>
        </w:numPr>
        <w:spacing w:line="360" w:lineRule="auto"/>
        <w:ind w:left="0" w:firstLine="481"/>
        <w:rPr>
          <w:rFonts w:hint="eastAsia" w:ascii="宋体" w:hAnsi="宋体" w:cs="宋体"/>
        </w:rPr>
      </w:pPr>
      <w:r>
        <w:rPr>
          <w:rFonts w:hint="eastAsia" w:ascii="宋体" w:hAnsi="宋体" w:cs="宋体"/>
        </w:rPr>
        <w:t>系统开发与部署成本降低：供应商可基于统一标准开发通用解决方案，避免重复定制，系统部署成本降低20%-30%。</w:t>
      </w:r>
    </w:p>
    <w:p w14:paraId="76CA432A">
      <w:pPr>
        <w:pStyle w:val="42"/>
        <w:numPr>
          <w:ilvl w:val="0"/>
          <w:numId w:val="5"/>
        </w:numPr>
        <w:spacing w:line="360" w:lineRule="auto"/>
        <w:ind w:left="0" w:firstLine="480" w:firstLineChars="200"/>
        <w:rPr>
          <w:rFonts w:hint="eastAsia" w:ascii="宋体" w:hAnsi="宋体" w:cs="宋体"/>
        </w:rPr>
      </w:pPr>
      <w:r>
        <w:rPr>
          <w:rFonts w:hint="eastAsia" w:ascii="宋体" w:hAnsi="宋体" w:cs="宋体"/>
        </w:rPr>
        <w:t>跨港口数据共享与合作：标准化数据便于区域港口群协同（如备件共享、专家资源互通），进一步降低行业整体成本。据估算，全国主要港口推广后，行业年节约系统建设与运维成本可达10-15亿元。</w:t>
      </w:r>
    </w:p>
    <w:p w14:paraId="487FA203">
      <w:pPr>
        <w:spacing w:line="360" w:lineRule="auto"/>
        <w:ind w:firstLine="480" w:firstLineChars="200"/>
        <w:rPr>
          <w:rFonts w:hint="eastAsia" w:ascii="宋体" w:hAnsi="宋体"/>
          <w:sz w:val="24"/>
        </w:rPr>
      </w:pPr>
      <w:bookmarkStart w:id="12" w:name="_Hlk56693429"/>
      <w:bookmarkStart w:id="13" w:name="_Hlk56693447"/>
    </w:p>
    <w:bookmarkEnd w:id="12"/>
    <w:bookmarkEnd w:id="13"/>
    <w:p w14:paraId="63771B63">
      <w:pPr>
        <w:pStyle w:val="2"/>
        <w:spacing w:before="0" w:after="0" w:line="360" w:lineRule="auto"/>
        <w:ind w:firstLine="480" w:firstLineChars="200"/>
        <w:rPr>
          <w:rFonts w:hint="eastAsia" w:ascii="宋体" w:hAnsi="宋体"/>
          <w:sz w:val="24"/>
          <w:szCs w:val="24"/>
        </w:rPr>
      </w:pPr>
      <w:bookmarkStart w:id="14" w:name="_Toc486780490"/>
      <w:bookmarkStart w:id="15" w:name="_Toc205985404"/>
      <w:r>
        <w:rPr>
          <w:rFonts w:hint="eastAsia" w:ascii="宋体" w:hAnsi="宋体"/>
          <w:sz w:val="24"/>
          <w:szCs w:val="24"/>
        </w:rPr>
        <w:t>四、采用国际标准和国外先进标准</w:t>
      </w:r>
      <w:bookmarkEnd w:id="14"/>
      <w:r>
        <w:rPr>
          <w:rFonts w:hint="eastAsia" w:ascii="宋体" w:hAnsi="宋体"/>
          <w:sz w:val="24"/>
          <w:szCs w:val="24"/>
        </w:rPr>
        <w:t>的程度</w:t>
      </w:r>
      <w:bookmarkEnd w:id="15"/>
    </w:p>
    <w:p w14:paraId="6B629E0C">
      <w:pPr>
        <w:pStyle w:val="42"/>
        <w:spacing w:line="360" w:lineRule="auto"/>
        <w:ind w:firstLine="480" w:firstLineChars="200"/>
        <w:rPr>
          <w:rFonts w:hint="eastAsia" w:ascii="宋体" w:hAnsi="宋体" w:cs="宋体"/>
        </w:rPr>
      </w:pPr>
      <w:r>
        <w:rPr>
          <w:rFonts w:hint="eastAsia" w:ascii="宋体" w:hAnsi="宋体" w:cs="宋体"/>
        </w:rPr>
        <w:t>本标准未采标。</w:t>
      </w:r>
    </w:p>
    <w:p w14:paraId="41562094">
      <w:pPr>
        <w:pStyle w:val="42"/>
        <w:spacing w:line="360" w:lineRule="auto"/>
        <w:ind w:firstLine="480" w:firstLineChars="200"/>
        <w:rPr>
          <w:rFonts w:hint="eastAsia" w:ascii="宋体" w:hAnsi="宋体" w:cs="宋体"/>
        </w:rPr>
      </w:pPr>
      <w:r>
        <w:rPr>
          <w:rFonts w:hint="eastAsia" w:ascii="宋体" w:hAnsi="宋体" w:cs="宋体"/>
        </w:rPr>
        <w:t>经调研查询，国内外均无</w:t>
      </w:r>
      <w:r>
        <w:rPr>
          <w:rFonts w:hint="eastAsia" w:ascii="宋体" w:hAnsi="宋体"/>
        </w:rPr>
        <w:t>港口自动化设备智能管理系统的相关技术标准。</w:t>
      </w:r>
    </w:p>
    <w:p w14:paraId="202CAF1A">
      <w:pPr>
        <w:pStyle w:val="42"/>
        <w:spacing w:line="360" w:lineRule="auto"/>
        <w:ind w:firstLine="480" w:firstLineChars="200"/>
        <w:rPr>
          <w:rFonts w:hint="eastAsia" w:ascii="宋体" w:hAnsi="宋体" w:cs="宋体"/>
        </w:rPr>
      </w:pPr>
    </w:p>
    <w:p w14:paraId="6D462A0C">
      <w:pPr>
        <w:pStyle w:val="2"/>
        <w:spacing w:before="0" w:after="0" w:line="360" w:lineRule="auto"/>
        <w:ind w:firstLine="480" w:firstLineChars="200"/>
        <w:rPr>
          <w:rFonts w:hint="eastAsia" w:ascii="宋体" w:hAnsi="宋体"/>
          <w:sz w:val="24"/>
          <w:szCs w:val="24"/>
        </w:rPr>
      </w:pPr>
      <w:bookmarkStart w:id="16" w:name="_Toc205985405"/>
      <w:bookmarkStart w:id="17" w:name="_Toc486780491"/>
      <w:r>
        <w:rPr>
          <w:rFonts w:hint="eastAsia" w:ascii="宋体" w:hAnsi="宋体"/>
          <w:sz w:val="24"/>
          <w:szCs w:val="24"/>
        </w:rPr>
        <w:t>五、与有关的现行法律、法规和强制性国家标准的关系</w:t>
      </w:r>
      <w:bookmarkEnd w:id="16"/>
      <w:bookmarkEnd w:id="17"/>
    </w:p>
    <w:p w14:paraId="37C7F1A4">
      <w:pPr>
        <w:spacing w:line="360" w:lineRule="auto"/>
        <w:ind w:firstLine="480" w:firstLineChars="200"/>
        <w:rPr>
          <w:rFonts w:hint="eastAsia" w:ascii="宋体" w:hAnsi="宋体"/>
          <w:sz w:val="24"/>
        </w:rPr>
      </w:pPr>
      <w:r>
        <w:rPr>
          <w:rFonts w:hint="eastAsia" w:ascii="宋体" w:hAnsi="宋体"/>
          <w:sz w:val="24"/>
        </w:rPr>
        <w:t>本标准与现行法律、法规和强制标准之间没有冲突，与以下推荐性国家标准最新版本在技术要求上保持一致</w:t>
      </w:r>
      <w:r>
        <w:rPr>
          <w:rFonts w:ascii="宋体" w:hAnsi="宋体"/>
          <w:sz w:val="24"/>
        </w:rPr>
        <w:t>：</w:t>
      </w:r>
    </w:p>
    <w:p w14:paraId="0C8DEDFC">
      <w:pPr>
        <w:pStyle w:val="42"/>
        <w:spacing w:line="360" w:lineRule="auto"/>
        <w:ind w:firstLine="481"/>
        <w:rPr>
          <w:rFonts w:hint="eastAsia" w:ascii="宋体" w:hAnsi="宋体"/>
        </w:rPr>
      </w:pPr>
      <w:r>
        <w:rPr>
          <w:rFonts w:hint="eastAsia" w:ascii="宋体" w:hAnsi="宋体"/>
        </w:rPr>
        <w:t>——GB/T 37934  信息安全技术 工业控制网络安全隔离与信息交换系统安全技术要求；</w:t>
      </w:r>
    </w:p>
    <w:p w14:paraId="3BEF8203">
      <w:pPr>
        <w:pStyle w:val="42"/>
        <w:spacing w:line="360" w:lineRule="auto"/>
        <w:ind w:firstLine="481"/>
        <w:rPr>
          <w:rFonts w:hint="eastAsia" w:ascii="宋体" w:hAnsi="宋体"/>
        </w:rPr>
      </w:pPr>
      <w:r>
        <w:rPr>
          <w:rFonts w:hint="eastAsia" w:ascii="宋体" w:hAnsi="宋体"/>
        </w:rPr>
        <w:t>——GB/T 42809  自动化集装箱码头操作系统技术要求；</w:t>
      </w:r>
    </w:p>
    <w:p w14:paraId="6E5B8008">
      <w:pPr>
        <w:pStyle w:val="42"/>
        <w:spacing w:line="360" w:lineRule="auto"/>
        <w:ind w:firstLine="481"/>
        <w:rPr>
          <w:rFonts w:hint="eastAsia" w:ascii="宋体" w:hAnsi="宋体"/>
        </w:rPr>
      </w:pPr>
      <w:r>
        <w:rPr>
          <w:rFonts w:hint="eastAsia" w:ascii="宋体" w:hAnsi="宋体"/>
        </w:rPr>
        <w:t>——GB/T 43380  自动化干散货码头综合管控系统技术要求。</w:t>
      </w:r>
    </w:p>
    <w:p w14:paraId="474BB608">
      <w:pPr>
        <w:widowControl/>
        <w:ind w:firstLine="480" w:firstLineChars="200"/>
        <w:jc w:val="left"/>
        <w:rPr>
          <w:rFonts w:hint="eastAsia" w:ascii="宋体" w:hAnsi="宋体"/>
          <w:sz w:val="24"/>
        </w:rPr>
      </w:pPr>
    </w:p>
    <w:p w14:paraId="3E9325F3">
      <w:pPr>
        <w:pStyle w:val="2"/>
        <w:spacing w:before="0" w:after="0" w:line="360" w:lineRule="auto"/>
        <w:ind w:firstLine="480" w:firstLineChars="200"/>
        <w:rPr>
          <w:rFonts w:hint="eastAsia" w:ascii="宋体" w:hAnsi="宋体"/>
          <w:sz w:val="24"/>
          <w:szCs w:val="24"/>
        </w:rPr>
      </w:pPr>
      <w:bookmarkStart w:id="18" w:name="_Toc205985406"/>
      <w:r>
        <w:rPr>
          <w:rFonts w:hint="eastAsia" w:ascii="宋体" w:hAnsi="宋体"/>
          <w:sz w:val="24"/>
          <w:szCs w:val="24"/>
        </w:rPr>
        <w:t>六、重大分歧意见的处理经过和依据</w:t>
      </w:r>
      <w:bookmarkEnd w:id="18"/>
    </w:p>
    <w:p w14:paraId="2E23BB56">
      <w:pPr>
        <w:spacing w:line="360" w:lineRule="auto"/>
        <w:ind w:firstLine="480" w:firstLineChars="200"/>
        <w:rPr>
          <w:rFonts w:hint="eastAsia" w:ascii="宋体" w:hAnsi="宋体"/>
          <w:bCs/>
          <w:sz w:val="24"/>
        </w:rPr>
      </w:pPr>
      <w:r>
        <w:rPr>
          <w:rFonts w:hint="eastAsia" w:ascii="宋体" w:hAnsi="宋体"/>
          <w:bCs/>
          <w:sz w:val="24"/>
        </w:rPr>
        <w:t>无。</w:t>
      </w:r>
    </w:p>
    <w:p w14:paraId="2BD6A6D6">
      <w:pPr>
        <w:spacing w:line="360" w:lineRule="auto"/>
        <w:ind w:firstLine="480" w:firstLineChars="200"/>
        <w:rPr>
          <w:rFonts w:hint="eastAsia" w:ascii="宋体" w:hAnsi="宋体"/>
          <w:bCs/>
          <w:sz w:val="24"/>
        </w:rPr>
      </w:pPr>
    </w:p>
    <w:p w14:paraId="64CB3C5A">
      <w:pPr>
        <w:pStyle w:val="2"/>
        <w:numPr>
          <w:ilvl w:val="0"/>
          <w:numId w:val="7"/>
        </w:numPr>
        <w:spacing w:before="0" w:after="0" w:line="360" w:lineRule="auto"/>
        <w:ind w:firstLine="480" w:firstLineChars="200"/>
        <w:rPr>
          <w:rFonts w:hint="eastAsia" w:ascii="宋体" w:hAnsi="宋体"/>
          <w:sz w:val="24"/>
          <w:szCs w:val="24"/>
        </w:rPr>
      </w:pPr>
      <w:bookmarkStart w:id="19" w:name="_Toc205985407"/>
      <w:r>
        <w:rPr>
          <w:rFonts w:hint="eastAsia" w:ascii="宋体" w:hAnsi="宋体"/>
          <w:sz w:val="24"/>
          <w:szCs w:val="24"/>
        </w:rPr>
        <w:t>贯彻标准的要求和措施建议</w:t>
      </w:r>
      <w:bookmarkEnd w:id="19"/>
    </w:p>
    <w:p w14:paraId="63D73604">
      <w:pPr>
        <w:spacing w:line="360" w:lineRule="auto"/>
        <w:ind w:firstLine="480" w:firstLineChars="200"/>
        <w:rPr>
          <w:rFonts w:hint="eastAsia" w:ascii="宋体" w:hAnsi="宋体"/>
          <w:sz w:val="24"/>
        </w:rPr>
      </w:pPr>
      <w:r>
        <w:rPr>
          <w:rFonts w:hint="eastAsia" w:ascii="宋体" w:hAnsi="宋体"/>
          <w:sz w:val="24"/>
        </w:rPr>
        <w:t>1.加强组织实施，特别是中国港口协会及其相关会员单位等的推动，有利于提升标准的实施效果。</w:t>
      </w:r>
    </w:p>
    <w:p w14:paraId="524011D1">
      <w:pPr>
        <w:spacing w:line="360" w:lineRule="auto"/>
        <w:ind w:firstLine="480" w:firstLineChars="200"/>
        <w:rPr>
          <w:rFonts w:hint="eastAsia" w:ascii="宋体" w:hAnsi="宋体"/>
          <w:sz w:val="24"/>
        </w:rPr>
      </w:pPr>
      <w:r>
        <w:rPr>
          <w:rFonts w:hint="eastAsia" w:ascii="宋体" w:hAnsi="宋体"/>
          <w:sz w:val="24"/>
        </w:rPr>
        <w:t>2.加强标准的宣贯和培训，让行业从业人员更多地了解、学习和使用该文件，为港口自动化设备智能管理提供指导。</w:t>
      </w:r>
    </w:p>
    <w:p w14:paraId="7EF85B02">
      <w:pPr>
        <w:spacing w:line="360" w:lineRule="auto"/>
        <w:ind w:firstLine="480" w:firstLineChars="200"/>
        <w:rPr>
          <w:rFonts w:hint="eastAsia" w:ascii="宋体" w:hAnsi="宋体"/>
          <w:sz w:val="24"/>
        </w:rPr>
      </w:pPr>
      <w:r>
        <w:rPr>
          <w:rFonts w:hint="eastAsia" w:ascii="宋体" w:hAnsi="宋体"/>
          <w:sz w:val="24"/>
        </w:rPr>
        <w:t>3.建议标准发布后3个月实施。</w:t>
      </w:r>
    </w:p>
    <w:p w14:paraId="18C864FF">
      <w:pPr>
        <w:spacing w:line="360" w:lineRule="auto"/>
        <w:ind w:firstLine="480" w:firstLineChars="200"/>
        <w:rPr>
          <w:rFonts w:hint="eastAsia" w:ascii="宋体" w:hAnsi="宋体"/>
          <w:sz w:val="24"/>
        </w:rPr>
      </w:pPr>
    </w:p>
    <w:p w14:paraId="5AD75B7C">
      <w:pPr>
        <w:pStyle w:val="2"/>
        <w:spacing w:before="0" w:after="0" w:line="360" w:lineRule="auto"/>
        <w:ind w:firstLine="480" w:firstLineChars="200"/>
        <w:rPr>
          <w:rFonts w:hint="eastAsia" w:ascii="宋体" w:hAnsi="宋体"/>
          <w:sz w:val="24"/>
          <w:szCs w:val="24"/>
        </w:rPr>
      </w:pPr>
      <w:bookmarkStart w:id="20" w:name="_Toc205985408"/>
      <w:r>
        <w:rPr>
          <w:rFonts w:hint="eastAsia" w:ascii="宋体" w:hAnsi="宋体"/>
          <w:sz w:val="24"/>
          <w:szCs w:val="24"/>
        </w:rPr>
        <w:t>八、废止现行有关标准的建议</w:t>
      </w:r>
      <w:bookmarkEnd w:id="20"/>
    </w:p>
    <w:p w14:paraId="12DD7D84">
      <w:pPr>
        <w:spacing w:line="360" w:lineRule="auto"/>
        <w:ind w:firstLine="480" w:firstLineChars="200"/>
        <w:rPr>
          <w:rFonts w:hint="eastAsia" w:ascii="宋体" w:hAnsi="宋体"/>
          <w:bCs/>
          <w:sz w:val="24"/>
        </w:rPr>
      </w:pPr>
      <w:r>
        <w:rPr>
          <w:rFonts w:hint="eastAsia" w:ascii="宋体" w:hAnsi="宋体"/>
          <w:bCs/>
          <w:sz w:val="24"/>
        </w:rPr>
        <w:t>无。</w:t>
      </w:r>
    </w:p>
    <w:p w14:paraId="5624DFC8">
      <w:pPr>
        <w:spacing w:line="360" w:lineRule="auto"/>
        <w:ind w:firstLine="480" w:firstLineChars="200"/>
        <w:rPr>
          <w:rFonts w:hint="eastAsia" w:ascii="宋体" w:hAnsi="宋体"/>
          <w:sz w:val="24"/>
        </w:rPr>
      </w:pPr>
    </w:p>
    <w:p w14:paraId="5FA9E9A6">
      <w:pPr>
        <w:pStyle w:val="2"/>
        <w:spacing w:before="0" w:after="0" w:line="360" w:lineRule="auto"/>
        <w:ind w:firstLine="480" w:firstLineChars="200"/>
        <w:rPr>
          <w:rFonts w:hint="eastAsia" w:ascii="宋体" w:hAnsi="宋体"/>
          <w:sz w:val="24"/>
          <w:szCs w:val="24"/>
        </w:rPr>
      </w:pPr>
      <w:bookmarkStart w:id="21" w:name="_Toc205985409"/>
      <w:r>
        <w:rPr>
          <w:rFonts w:hint="eastAsia" w:ascii="宋体" w:hAnsi="宋体"/>
          <w:sz w:val="24"/>
          <w:szCs w:val="24"/>
        </w:rPr>
        <w:t>九、其他应予说明的事项</w:t>
      </w:r>
      <w:bookmarkEnd w:id="21"/>
    </w:p>
    <w:p w14:paraId="14757806">
      <w:pPr>
        <w:spacing w:line="360" w:lineRule="auto"/>
        <w:ind w:firstLine="480" w:firstLineChars="200"/>
        <w:rPr>
          <w:sz w:val="24"/>
        </w:rPr>
      </w:pPr>
      <w:r>
        <w:rPr>
          <w:rFonts w:hint="eastAsia"/>
          <w:sz w:val="24"/>
        </w:rPr>
        <w:t>本文件在起草过程中，暂时未识别出专利。</w:t>
      </w:r>
    </w:p>
    <w:p w14:paraId="798A352D">
      <w:pPr>
        <w:spacing w:before="156" w:beforeLines="50" w:line="360" w:lineRule="auto"/>
        <w:ind w:firstLine="420" w:firstLineChars="200"/>
      </w:pPr>
    </w:p>
    <w:sectPr>
      <w:footerReference r:id="rId6" w:type="default"/>
      <w:pgSz w:w="11906" w:h="16838"/>
      <w:pgMar w:top="1588" w:right="1814" w:bottom="1588" w:left="1814" w:header="851" w:footer="992" w:gutter="0"/>
      <w:pgNumType w:start="1"/>
      <w:cols w:space="425" w:num="1"/>
      <w:docGrid w:type="linesAndChar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hangym@wti.ac.cn" w:date="2025-08-13T14:35:00Z" w:initials="">
    <w:p w14:paraId="6B876D88">
      <w:pPr>
        <w:pStyle w:val="6"/>
      </w:pPr>
      <w:r>
        <w:rPr>
          <w:rFonts w:hint="eastAsia"/>
        </w:rPr>
        <w:t>起草人的工作要落实到负责具体核心章节（非前4章）的编制</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B876D8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27305">
    <w:pPr>
      <w:pStyle w:val="10"/>
      <w:jc w:val="center"/>
    </w:pPr>
  </w:p>
  <w:p w14:paraId="19E35AF7">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80917">
    <w:pPr>
      <w:pStyle w:val="10"/>
      <w:jc w:val="center"/>
    </w:pPr>
    <w:r>
      <w:fldChar w:fldCharType="begin"/>
    </w:r>
    <w:r>
      <w:instrText xml:space="preserve">PAGE   \* MERGEFORMAT</w:instrText>
    </w:r>
    <w:r>
      <w:fldChar w:fldCharType="separate"/>
    </w:r>
    <w:r>
      <w:rPr>
        <w:lang w:val="zh-CN"/>
      </w:rPr>
      <w:t>8</w:t>
    </w:r>
    <w:r>
      <w:fldChar w:fldCharType="end"/>
    </w:r>
  </w:p>
  <w:p w14:paraId="0AF18F7A">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lvlText w:val="%1."/>
      <w:lvlJc w:val="left"/>
      <w:pPr>
        <w:ind w:left="425" w:hanging="425"/>
      </w:pPr>
      <w:rPr>
        <w:rFonts w:hint="default"/>
      </w:rPr>
    </w:lvl>
  </w:abstractNum>
  <w:abstractNum w:abstractNumId="1">
    <w:nsid w:val="00000002"/>
    <w:multiLevelType w:val="multilevel"/>
    <w:tmpl w:val="00000002"/>
    <w:lvl w:ilvl="0" w:tentative="0">
      <w:start w:val="1"/>
      <w:numFmt w:val="decimal"/>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00000003"/>
    <w:multiLevelType w:val="multilevel"/>
    <w:tmpl w:val="00000003"/>
    <w:lvl w:ilvl="0" w:tentative="0">
      <w:start w:val="1"/>
      <w:numFmt w:val="bullet"/>
      <w:lvlText w:val=""/>
      <w:lvlJc w:val="left"/>
      <w:pPr>
        <w:ind w:left="921" w:hanging="440"/>
      </w:pPr>
      <w:rPr>
        <w:rFonts w:hint="default" w:ascii="Wingdings" w:hAnsi="Wingdings"/>
      </w:rPr>
    </w:lvl>
    <w:lvl w:ilvl="1" w:tentative="0">
      <w:start w:val="1"/>
      <w:numFmt w:val="bullet"/>
      <w:lvlText w:val=""/>
      <w:lvlJc w:val="left"/>
      <w:pPr>
        <w:ind w:left="1361" w:hanging="440"/>
      </w:pPr>
      <w:rPr>
        <w:rFonts w:hint="default" w:ascii="Wingdings" w:hAnsi="Wingdings"/>
      </w:rPr>
    </w:lvl>
    <w:lvl w:ilvl="2" w:tentative="0">
      <w:start w:val="1"/>
      <w:numFmt w:val="bullet"/>
      <w:lvlText w:val=""/>
      <w:lvlJc w:val="left"/>
      <w:pPr>
        <w:ind w:left="1801" w:hanging="440"/>
      </w:pPr>
      <w:rPr>
        <w:rFonts w:hint="default" w:ascii="Wingdings" w:hAnsi="Wingdings"/>
      </w:rPr>
    </w:lvl>
    <w:lvl w:ilvl="3" w:tentative="0">
      <w:start w:val="1"/>
      <w:numFmt w:val="bullet"/>
      <w:lvlText w:val=""/>
      <w:lvlJc w:val="left"/>
      <w:pPr>
        <w:ind w:left="2241" w:hanging="440"/>
      </w:pPr>
      <w:rPr>
        <w:rFonts w:hint="default" w:ascii="Wingdings" w:hAnsi="Wingdings"/>
      </w:rPr>
    </w:lvl>
    <w:lvl w:ilvl="4" w:tentative="0">
      <w:start w:val="1"/>
      <w:numFmt w:val="bullet"/>
      <w:lvlText w:val=""/>
      <w:lvlJc w:val="left"/>
      <w:pPr>
        <w:ind w:left="2681" w:hanging="440"/>
      </w:pPr>
      <w:rPr>
        <w:rFonts w:hint="default" w:ascii="Wingdings" w:hAnsi="Wingdings"/>
      </w:rPr>
    </w:lvl>
    <w:lvl w:ilvl="5" w:tentative="0">
      <w:start w:val="1"/>
      <w:numFmt w:val="bullet"/>
      <w:lvlText w:val=""/>
      <w:lvlJc w:val="left"/>
      <w:pPr>
        <w:ind w:left="3121" w:hanging="440"/>
      </w:pPr>
      <w:rPr>
        <w:rFonts w:hint="default" w:ascii="Wingdings" w:hAnsi="Wingdings"/>
      </w:rPr>
    </w:lvl>
    <w:lvl w:ilvl="6" w:tentative="0">
      <w:start w:val="1"/>
      <w:numFmt w:val="bullet"/>
      <w:lvlText w:val=""/>
      <w:lvlJc w:val="left"/>
      <w:pPr>
        <w:ind w:left="3561" w:hanging="440"/>
      </w:pPr>
      <w:rPr>
        <w:rFonts w:hint="default" w:ascii="Wingdings" w:hAnsi="Wingdings"/>
      </w:rPr>
    </w:lvl>
    <w:lvl w:ilvl="7" w:tentative="0">
      <w:start w:val="1"/>
      <w:numFmt w:val="bullet"/>
      <w:lvlText w:val=""/>
      <w:lvlJc w:val="left"/>
      <w:pPr>
        <w:ind w:left="4001" w:hanging="440"/>
      </w:pPr>
      <w:rPr>
        <w:rFonts w:hint="default" w:ascii="Wingdings" w:hAnsi="Wingdings"/>
      </w:rPr>
    </w:lvl>
    <w:lvl w:ilvl="8" w:tentative="0">
      <w:start w:val="1"/>
      <w:numFmt w:val="bullet"/>
      <w:lvlText w:val=""/>
      <w:lvlJc w:val="left"/>
      <w:pPr>
        <w:ind w:left="4441" w:hanging="440"/>
      </w:pPr>
      <w:rPr>
        <w:rFonts w:hint="default" w:ascii="Wingdings" w:hAnsi="Wingdings"/>
      </w:rPr>
    </w:lvl>
  </w:abstractNum>
  <w:abstractNum w:abstractNumId="3">
    <w:nsid w:val="00000004"/>
    <w:multiLevelType w:val="multilevel"/>
    <w:tmpl w:val="00000004"/>
    <w:lvl w:ilvl="0" w:tentative="0">
      <w:start w:val="1"/>
      <w:numFmt w:val="decimal"/>
      <w:pStyle w:val="31"/>
      <w:suff w:val="nothing"/>
      <w:lvlText w:val="%1　"/>
      <w:lvlJc w:val="left"/>
      <w:rPr>
        <w:rFonts w:hint="eastAsia" w:ascii="黑体" w:hAnsi="Times New Roman" w:eastAsia="黑体" w:cs="Times New Roman"/>
        <w:b w:val="0"/>
        <w:i w:val="0"/>
        <w:sz w:val="21"/>
        <w:szCs w:val="21"/>
      </w:rPr>
    </w:lvl>
    <w:lvl w:ilvl="1" w:tentative="0">
      <w:start w:val="1"/>
      <w:numFmt w:val="decimal"/>
      <w:pStyle w:val="30"/>
      <w:suff w:val="nothing"/>
      <w:lvlText w:val="%1.%2　"/>
      <w:lvlJc w:val="left"/>
      <w:rPr>
        <w:rFonts w:hint="eastAsia" w:ascii="黑体" w:hAnsi="Times New Roman" w:eastAsia="黑体" w:cs="Times New Roman"/>
        <w:b w:val="0"/>
        <w:bCs w:val="0"/>
        <w:i w:val="0"/>
        <w:iCs w:val="0"/>
        <w:caps w:val="0"/>
        <w:vanish w:val="0"/>
        <w:color w:val="000000"/>
        <w:spacing w:val="0"/>
        <w:kern w:val="0"/>
        <w:position w:val="0"/>
        <w:sz w:val="21"/>
        <w:szCs w:val="21"/>
        <w:u w:val="none"/>
        <w:vertAlign w:val="baseline"/>
      </w:rPr>
    </w:lvl>
    <w:lvl w:ilvl="2" w:tentative="0">
      <w:start w:val="1"/>
      <w:numFmt w:val="decimal"/>
      <w:suff w:val="nothing"/>
      <w:lvlText w:val="%1.%2.%3　"/>
      <w:lvlJc w:val="left"/>
      <w:rPr>
        <w:rFonts w:hint="eastAsia" w:ascii="黑体" w:hAnsi="Times New Roman" w:eastAsia="黑体" w:cs="Times New Roman"/>
        <w:b w:val="0"/>
        <w:i w:val="0"/>
        <w:sz w:val="21"/>
      </w:rPr>
    </w:lvl>
    <w:lvl w:ilvl="3" w:tentative="0">
      <w:start w:val="1"/>
      <w:numFmt w:val="decimal"/>
      <w:suff w:val="nothing"/>
      <w:lvlText w:val="%1.%2.%3.%4　"/>
      <w:lvlJc w:val="left"/>
      <w:rPr>
        <w:rFonts w:hint="eastAsia" w:ascii="黑体" w:hAnsi="Times New Roman" w:eastAsia="黑体" w:cs="Times New Roman"/>
        <w:b w:val="0"/>
        <w:i w:val="0"/>
        <w:sz w:val="21"/>
      </w:rPr>
    </w:lvl>
    <w:lvl w:ilvl="4" w:tentative="0">
      <w:start w:val="1"/>
      <w:numFmt w:val="decimal"/>
      <w:suff w:val="nothing"/>
      <w:lvlText w:val="%1.%2.%3.%4.%5　"/>
      <w:lvlJc w:val="left"/>
      <w:rPr>
        <w:rFonts w:hint="eastAsia" w:ascii="黑体" w:hAnsi="Times New Roman" w:eastAsia="黑体" w:cs="Times New Roman"/>
        <w:b w:val="0"/>
        <w:i w:val="0"/>
        <w:sz w:val="21"/>
      </w:rPr>
    </w:lvl>
    <w:lvl w:ilvl="5" w:tentative="0">
      <w:start w:val="1"/>
      <w:numFmt w:val="decimal"/>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4">
    <w:nsid w:val="00000005"/>
    <w:multiLevelType w:val="singleLevel"/>
    <w:tmpl w:val="00000005"/>
    <w:lvl w:ilvl="0" w:tentative="0">
      <w:start w:val="7"/>
      <w:numFmt w:val="chineseCounting"/>
      <w:suff w:val="nothing"/>
      <w:lvlText w:val="%1、"/>
      <w:lvlJc w:val="left"/>
      <w:rPr>
        <w:rFonts w:hint="eastAsia"/>
      </w:rPr>
    </w:lvl>
  </w:abstractNum>
  <w:abstractNum w:abstractNumId="5">
    <w:nsid w:val="00000006"/>
    <w:multiLevelType w:val="multilevel"/>
    <w:tmpl w:val="00000006"/>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vanish w:val="0"/>
        <w:color w:val="000000"/>
        <w:spacing w:val="0"/>
        <w:kern w:val="0"/>
        <w:position w:val="0"/>
        <w:sz w:val="21"/>
        <w:u w:val="none"/>
        <w:vertAlign w:val="baseline"/>
      </w:rPr>
    </w:lvl>
    <w:lvl w:ilvl="3" w:tentative="0">
      <w:start w:val="1"/>
      <w:numFmt w:val="decimal"/>
      <w:pStyle w:val="46"/>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1A387C32"/>
    <w:multiLevelType w:val="singleLevel"/>
    <w:tmpl w:val="1A387C32"/>
    <w:lvl w:ilvl="0" w:tentative="0">
      <w:start w:val="9"/>
      <w:numFmt w:val="decimal"/>
      <w:suff w:val="space"/>
      <w:lvlText w:val="%1."/>
      <w:lvlJc w:val="left"/>
    </w:lvl>
  </w:abstractNum>
  <w:num w:numId="1">
    <w:abstractNumId w:val="3"/>
  </w:num>
  <w:num w:numId="2">
    <w:abstractNumId w:val="5"/>
  </w:num>
  <w:num w:numId="3">
    <w:abstractNumId w:val="0"/>
  </w:num>
  <w:num w:numId="4">
    <w:abstractNumId w:val="1"/>
  </w:num>
  <w:num w:numId="5">
    <w:abstractNumId w:val="2"/>
  </w:num>
  <w:num w:numId="6">
    <w:abstractNumId w:val="6"/>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ym@wti.ac.cn">
    <w15:presenceInfo w15:providerId="Windows Live" w15:userId="6407566cf4630f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0A4"/>
    <w:rsid w:val="001C78B2"/>
    <w:rsid w:val="00302D6F"/>
    <w:rsid w:val="003C4D0F"/>
    <w:rsid w:val="004700A4"/>
    <w:rsid w:val="00634752"/>
    <w:rsid w:val="00876363"/>
    <w:rsid w:val="00992056"/>
    <w:rsid w:val="00A84C18"/>
    <w:rsid w:val="00C1490C"/>
    <w:rsid w:val="00CB6CE2"/>
    <w:rsid w:val="00E45423"/>
    <w:rsid w:val="00EF2902"/>
    <w:rsid w:val="3F8073F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9"/>
    <w:pPr>
      <w:keepNext/>
      <w:keepLines/>
      <w:spacing w:before="260" w:after="260" w:line="416" w:lineRule="auto"/>
      <w:outlineLvl w:val="1"/>
    </w:pPr>
    <w:rPr>
      <w:rFonts w:ascii="Cambria" w:hAnsi="Cambria" w:cs="宋体"/>
      <w:b/>
      <w:bCs/>
      <w:sz w:val="32"/>
      <w:szCs w:val="32"/>
    </w:rPr>
  </w:style>
  <w:style w:type="paragraph" w:styleId="4">
    <w:name w:val="heading 3"/>
    <w:basedOn w:val="1"/>
    <w:next w:val="1"/>
    <w:link w:val="22"/>
    <w:semiHidden/>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5">
    <w:name w:val="Document Map"/>
    <w:basedOn w:val="1"/>
    <w:link w:val="36"/>
    <w:qFormat/>
    <w:uiPriority w:val="99"/>
    <w:pPr>
      <w:shd w:val="clear" w:color="auto" w:fill="000080"/>
    </w:pPr>
  </w:style>
  <w:style w:type="paragraph" w:styleId="6">
    <w:name w:val="annotation text"/>
    <w:basedOn w:val="1"/>
    <w:link w:val="37"/>
    <w:qFormat/>
    <w:uiPriority w:val="0"/>
    <w:pPr>
      <w:jc w:val="left"/>
    </w:pPr>
  </w:style>
  <w:style w:type="paragraph" w:styleId="7">
    <w:name w:val="Body Text Indent"/>
    <w:basedOn w:val="1"/>
    <w:link w:val="28"/>
    <w:qFormat/>
    <w:uiPriority w:val="99"/>
    <w:pPr>
      <w:spacing w:after="120"/>
      <w:ind w:left="420" w:leftChars="200"/>
    </w:pPr>
  </w:style>
  <w:style w:type="paragraph" w:styleId="8">
    <w:name w:val="Date"/>
    <w:basedOn w:val="1"/>
    <w:next w:val="1"/>
    <w:link w:val="40"/>
    <w:qFormat/>
    <w:uiPriority w:val="99"/>
    <w:pPr>
      <w:ind w:left="100" w:leftChars="2500"/>
    </w:pPr>
  </w:style>
  <w:style w:type="paragraph" w:styleId="9">
    <w:name w:val="Balloon Text"/>
    <w:basedOn w:val="1"/>
    <w:link w:val="39"/>
    <w:qFormat/>
    <w:uiPriority w:val="99"/>
    <w:rPr>
      <w:sz w:val="18"/>
      <w:szCs w:val="18"/>
    </w:rPr>
  </w:style>
  <w:style w:type="paragraph" w:styleId="10">
    <w:name w:val="footer"/>
    <w:basedOn w:val="1"/>
    <w:link w:val="25"/>
    <w:qFormat/>
    <w:uiPriority w:val="99"/>
    <w:pPr>
      <w:tabs>
        <w:tab w:val="center" w:pos="4153"/>
        <w:tab w:val="right" w:pos="8306"/>
      </w:tabs>
      <w:snapToGrid w:val="0"/>
      <w:jc w:val="left"/>
    </w:pPr>
    <w:rPr>
      <w:sz w:val="18"/>
      <w:szCs w:val="18"/>
    </w:rPr>
  </w:style>
  <w:style w:type="paragraph" w:styleId="11">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pPr>
      <w:widowControl/>
      <w:tabs>
        <w:tab w:val="right" w:leader="dot" w:pos="8296"/>
      </w:tabs>
      <w:spacing w:beforeLines="50" w:line="360" w:lineRule="auto"/>
      <w:jc w:val="left"/>
    </w:pPr>
    <w:rPr>
      <w:rFonts w:ascii="宋体" w:hAnsi="宋体" w:cs="宋体"/>
      <w:color w:val="000000"/>
      <w:kern w:val="0"/>
      <w:sz w:val="24"/>
    </w:rPr>
  </w:style>
  <w:style w:type="paragraph" w:styleId="13">
    <w:name w:val="Title"/>
    <w:basedOn w:val="1"/>
    <w:next w:val="1"/>
    <w:link w:val="23"/>
    <w:qFormat/>
    <w:uiPriority w:val="10"/>
    <w:pPr>
      <w:spacing w:before="240" w:after="60"/>
      <w:jc w:val="center"/>
      <w:outlineLvl w:val="0"/>
    </w:pPr>
    <w:rPr>
      <w:rFonts w:ascii="Cambria" w:hAnsi="Cambria"/>
      <w:b/>
      <w:bCs/>
      <w:sz w:val="32"/>
      <w:szCs w:val="32"/>
    </w:rPr>
  </w:style>
  <w:style w:type="paragraph" w:styleId="14">
    <w:name w:val="annotation subject"/>
    <w:basedOn w:val="6"/>
    <w:next w:val="6"/>
    <w:link w:val="38"/>
    <w:qFormat/>
    <w:uiPriority w:val="99"/>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99"/>
  </w:style>
  <w:style w:type="character" w:styleId="19">
    <w:name w:val="Hyperlink"/>
    <w:basedOn w:val="17"/>
    <w:qFormat/>
    <w:uiPriority w:val="99"/>
    <w:rPr>
      <w:color w:val="0000FF"/>
      <w:u w:val="single"/>
    </w:rPr>
  </w:style>
  <w:style w:type="character" w:styleId="20">
    <w:name w:val="annotation reference"/>
    <w:basedOn w:val="17"/>
    <w:qFormat/>
    <w:uiPriority w:val="0"/>
    <w:rPr>
      <w:sz w:val="21"/>
      <w:szCs w:val="21"/>
    </w:rPr>
  </w:style>
  <w:style w:type="character" w:customStyle="1" w:styleId="21">
    <w:name w:val="标题 1 字符"/>
    <w:link w:val="2"/>
    <w:qFormat/>
    <w:uiPriority w:val="0"/>
    <w:rPr>
      <w:b/>
      <w:kern w:val="44"/>
      <w:sz w:val="44"/>
    </w:rPr>
  </w:style>
  <w:style w:type="character" w:customStyle="1" w:styleId="22">
    <w:name w:val="标题 3 字符"/>
    <w:link w:val="4"/>
    <w:qFormat/>
    <w:uiPriority w:val="0"/>
    <w:rPr>
      <w:b/>
      <w:kern w:val="2"/>
      <w:sz w:val="32"/>
    </w:rPr>
  </w:style>
  <w:style w:type="character" w:customStyle="1" w:styleId="23">
    <w:name w:val="标题 字符"/>
    <w:link w:val="13"/>
    <w:qFormat/>
    <w:uiPriority w:val="99"/>
    <w:rPr>
      <w:rFonts w:ascii="Cambria" w:hAnsi="Cambria"/>
      <w:b/>
      <w:kern w:val="2"/>
      <w:sz w:val="32"/>
    </w:rPr>
  </w:style>
  <w:style w:type="character" w:customStyle="1" w:styleId="24">
    <w:name w:val="页眉 字符"/>
    <w:link w:val="11"/>
    <w:qFormat/>
    <w:uiPriority w:val="99"/>
    <w:rPr>
      <w:kern w:val="2"/>
      <w:sz w:val="18"/>
    </w:rPr>
  </w:style>
  <w:style w:type="character" w:customStyle="1" w:styleId="25">
    <w:name w:val="页脚 字符"/>
    <w:link w:val="10"/>
    <w:qFormat/>
    <w:uiPriority w:val="99"/>
    <w:rPr>
      <w:kern w:val="2"/>
      <w:sz w:val="18"/>
    </w:rPr>
  </w:style>
  <w:style w:type="paragraph" w:customStyle="1" w:styleId="26">
    <w:name w:val="段"/>
    <w:link w:val="2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7">
    <w:name w:val="段 Char"/>
    <w:link w:val="26"/>
    <w:qFormat/>
    <w:uiPriority w:val="0"/>
    <w:rPr>
      <w:rFonts w:ascii="宋体"/>
      <w:sz w:val="21"/>
    </w:rPr>
  </w:style>
  <w:style w:type="character" w:customStyle="1" w:styleId="28">
    <w:name w:val="正文文本缩进 字符"/>
    <w:link w:val="7"/>
    <w:qFormat/>
    <w:uiPriority w:val="99"/>
    <w:rPr>
      <w:kern w:val="2"/>
      <w:sz w:val="24"/>
    </w:rPr>
  </w:style>
  <w:style w:type="paragraph" w:customStyle="1" w:styleId="29">
    <w:name w:val="p0"/>
    <w:basedOn w:val="1"/>
    <w:qFormat/>
    <w:uiPriority w:val="99"/>
    <w:pPr>
      <w:widowControl/>
    </w:pPr>
    <w:rPr>
      <w:rFonts w:ascii="仿宋_GB2312" w:hAnsi="宋体" w:eastAsia="仿宋_GB2312" w:cs="宋体"/>
      <w:spacing w:val="-4"/>
      <w:kern w:val="0"/>
      <w:sz w:val="32"/>
      <w:szCs w:val="32"/>
    </w:rPr>
  </w:style>
  <w:style w:type="paragraph" w:customStyle="1" w:styleId="30">
    <w:name w:val="一级条标题"/>
    <w:next w:val="26"/>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31">
    <w:name w:val="章标题"/>
    <w:next w:val="26"/>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32">
    <w:name w:val="二级条标题"/>
    <w:basedOn w:val="30"/>
    <w:next w:val="26"/>
    <w:qFormat/>
    <w:uiPriority w:val="0"/>
    <w:pPr>
      <w:numPr>
        <w:ilvl w:val="2"/>
        <w:numId w:val="0"/>
      </w:numPr>
      <w:spacing w:before="50" w:after="50"/>
      <w:outlineLvl w:val="3"/>
    </w:pPr>
  </w:style>
  <w:style w:type="paragraph" w:customStyle="1" w:styleId="33">
    <w:name w:val="三级条标题"/>
    <w:basedOn w:val="32"/>
    <w:next w:val="26"/>
    <w:qFormat/>
    <w:uiPriority w:val="0"/>
    <w:pPr>
      <w:numPr>
        <w:ilvl w:val="3"/>
      </w:numPr>
      <w:outlineLvl w:val="4"/>
    </w:pPr>
  </w:style>
  <w:style w:type="paragraph" w:customStyle="1" w:styleId="34">
    <w:name w:val="四级条标题"/>
    <w:basedOn w:val="33"/>
    <w:next w:val="26"/>
    <w:qFormat/>
    <w:uiPriority w:val="0"/>
    <w:pPr>
      <w:numPr>
        <w:ilvl w:val="4"/>
      </w:numPr>
      <w:outlineLvl w:val="5"/>
    </w:pPr>
  </w:style>
  <w:style w:type="paragraph" w:customStyle="1" w:styleId="35">
    <w:name w:val="五级条标题"/>
    <w:basedOn w:val="34"/>
    <w:next w:val="26"/>
    <w:qFormat/>
    <w:uiPriority w:val="0"/>
    <w:pPr>
      <w:numPr>
        <w:ilvl w:val="5"/>
      </w:numPr>
      <w:outlineLvl w:val="6"/>
    </w:pPr>
  </w:style>
  <w:style w:type="character" w:customStyle="1" w:styleId="36">
    <w:name w:val="文档结构图 字符"/>
    <w:link w:val="5"/>
    <w:qFormat/>
    <w:uiPriority w:val="99"/>
    <w:rPr>
      <w:sz w:val="2"/>
    </w:rPr>
  </w:style>
  <w:style w:type="character" w:customStyle="1" w:styleId="37">
    <w:name w:val="批注文字 字符"/>
    <w:basedOn w:val="17"/>
    <w:link w:val="6"/>
    <w:qFormat/>
    <w:uiPriority w:val="0"/>
    <w:rPr>
      <w:kern w:val="2"/>
      <w:sz w:val="21"/>
      <w:szCs w:val="24"/>
    </w:rPr>
  </w:style>
  <w:style w:type="character" w:customStyle="1" w:styleId="38">
    <w:name w:val="批注主题 字符"/>
    <w:basedOn w:val="37"/>
    <w:link w:val="14"/>
    <w:qFormat/>
    <w:uiPriority w:val="99"/>
    <w:rPr>
      <w:b/>
      <w:bCs/>
      <w:kern w:val="2"/>
      <w:sz w:val="21"/>
      <w:szCs w:val="24"/>
    </w:rPr>
  </w:style>
  <w:style w:type="character" w:customStyle="1" w:styleId="39">
    <w:name w:val="批注框文本 字符"/>
    <w:basedOn w:val="17"/>
    <w:link w:val="9"/>
    <w:qFormat/>
    <w:uiPriority w:val="99"/>
    <w:rPr>
      <w:kern w:val="2"/>
      <w:sz w:val="18"/>
      <w:szCs w:val="18"/>
    </w:rPr>
  </w:style>
  <w:style w:type="character" w:customStyle="1" w:styleId="40">
    <w:name w:val="日期 字符"/>
    <w:basedOn w:val="17"/>
    <w:link w:val="8"/>
    <w:qFormat/>
    <w:uiPriority w:val="99"/>
    <w:rPr>
      <w:kern w:val="2"/>
      <w:sz w:val="21"/>
      <w:szCs w:val="24"/>
    </w:rPr>
  </w:style>
  <w:style w:type="paragraph" w:styleId="41">
    <w:name w:val="List Paragraph"/>
    <w:basedOn w:val="1"/>
    <w:qFormat/>
    <w:uiPriority w:val="34"/>
    <w:pPr>
      <w:ind w:firstLine="420" w:firstLineChars="200"/>
    </w:pPr>
  </w:style>
  <w:style w:type="paragraph" w:customStyle="1" w:styleId="4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43">
    <w:name w:val="修订1"/>
    <w:qFormat/>
    <w:uiPriority w:val="99"/>
    <w:rPr>
      <w:rFonts w:ascii="Times New Roman" w:hAnsi="Times New Roman" w:eastAsia="宋体" w:cs="Times New Roman"/>
      <w:kern w:val="2"/>
      <w:sz w:val="21"/>
      <w:szCs w:val="24"/>
      <w:lang w:val="en-US" w:eastAsia="zh-CN" w:bidi="ar-SA"/>
    </w:rPr>
  </w:style>
  <w:style w:type="paragraph" w:customStyle="1" w:styleId="4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5">
    <w:name w:val="标准文件_二级无标题"/>
    <w:basedOn w:val="46"/>
    <w:qFormat/>
    <w:uiPriority w:val="0"/>
    <w:pPr>
      <w:outlineLvl w:val="9"/>
    </w:pPr>
    <w:rPr>
      <w:rFonts w:ascii="宋体" w:eastAsia="宋体"/>
    </w:rPr>
  </w:style>
  <w:style w:type="paragraph" w:customStyle="1" w:styleId="46">
    <w:name w:val="标准文件_二级条标题"/>
    <w:next w:val="44"/>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paragraph" w:customStyle="1" w:styleId="47">
    <w:name w:val="Revision"/>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F9405-EDD7-407C-BEBB-550593926422}">
  <ds:schemaRefs/>
</ds:datastoreItem>
</file>

<file path=docProps/app.xml><?xml version="1.0" encoding="utf-8"?>
<Properties xmlns="http://schemas.openxmlformats.org/officeDocument/2006/extended-properties" xmlns:vt="http://schemas.openxmlformats.org/officeDocument/2006/docPropsVTypes">
  <Template>Normal</Template>
  <Pages>32</Pages>
  <Words>22205</Words>
  <Characters>23183</Characters>
  <Lines>644</Lines>
  <Paragraphs>677</Paragraphs>
  <TotalTime>53</TotalTime>
  <ScaleCrop>false</ScaleCrop>
  <LinksUpToDate>false</LinksUpToDate>
  <CharactersWithSpaces>23344</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2024-05-15T06:52:00Z</dcterms:created>
  <dc:creator>X</dc:creator>
  <cp:lastModifiedBy>胡伟</cp:lastModifiedBy>
  <cp:lastPrinted>2019-03-18T10:10:00Z</cp:lastPrinted>
  <dcterms:modified xsi:type="dcterms:W3CDTF">2025-08-14T01:15:08Z</dcterms:modified>
  <dc:title>《系列2集装箱 分类、尺寸和额定质量》</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79BAED8AE20A4B7395E0FF56EA164AA5_13</vt:lpwstr>
  </property>
  <property fmtid="{D5CDD505-2E9C-101B-9397-08002B2CF9AE}" pid="4" name="KSOTemplateDocerSaveRecord">
    <vt:lpwstr>eyJoZGlkIjoiN2ZmMDA2MTNkMzZhNzRmZTU3ZjJmMDZmNTBiNzQ4NzciLCJ1c2VySWQiOiIxMTY2NTk4OTYxIn0=</vt:lpwstr>
  </property>
</Properties>
</file>