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14:paraId="4F5305E6">
      <w:pPr>
        <w:spacing w:line="360" w:lineRule="auto"/>
        <w:jc w:val="center"/>
        <w:rPr>
          <w:rFonts w:eastAsia="黑体"/>
          <w:b/>
          <w:bCs/>
          <w:color w:val="000000"/>
          <w:sz w:val="52"/>
          <w:szCs w:val="52"/>
        </w:rPr>
      </w:pPr>
    </w:p>
    <w:p w14:paraId="2C8348BA">
      <w:pPr>
        <w:spacing w:line="360" w:lineRule="auto"/>
        <w:jc w:val="center"/>
        <w:rPr>
          <w:rFonts w:eastAsia="黑体"/>
          <w:b/>
          <w:bCs/>
          <w:color w:val="000000"/>
          <w:sz w:val="52"/>
          <w:szCs w:val="52"/>
        </w:rPr>
      </w:pPr>
    </w:p>
    <w:p w14:paraId="315EB288">
      <w:pPr>
        <w:spacing w:line="360" w:lineRule="auto"/>
        <w:jc w:val="center"/>
        <w:rPr>
          <w:rFonts w:eastAsia="黑体"/>
          <w:b/>
          <w:bCs/>
          <w:color w:val="000000"/>
          <w:sz w:val="52"/>
          <w:szCs w:val="52"/>
        </w:rPr>
      </w:pPr>
    </w:p>
    <w:p w14:paraId="37B2237E">
      <w:pPr>
        <w:spacing w:line="720" w:lineRule="auto"/>
        <w:jc w:val="center"/>
        <w:rPr>
          <w:rFonts w:eastAsia="黑体"/>
          <w:b/>
          <w:bCs/>
          <w:color w:val="000000"/>
          <w:sz w:val="44"/>
          <w:szCs w:val="44"/>
          <w:highlight w:val="yellow"/>
        </w:rPr>
      </w:pPr>
      <w:r>
        <w:rPr>
          <w:rFonts w:hint="eastAsia" w:ascii="黑体" w:hAnsi="宋体" w:eastAsia="黑体"/>
          <w:b/>
          <w:bCs/>
          <w:color w:val="000000"/>
          <w:sz w:val="44"/>
          <w:szCs w:val="44"/>
          <w:lang w:val="en-US" w:eastAsia="zh-CN"/>
        </w:rPr>
        <w:t>中国港口协会团体</w:t>
      </w:r>
      <w:r>
        <w:rPr>
          <w:rFonts w:hint="eastAsia" w:ascii="黑体" w:hAnsi="宋体" w:eastAsia="黑体"/>
          <w:b/>
          <w:bCs/>
          <w:color w:val="000000"/>
          <w:sz w:val="44"/>
          <w:szCs w:val="44"/>
        </w:rPr>
        <w:t>标准</w:t>
      </w:r>
    </w:p>
    <w:p w14:paraId="4B8CDDAC">
      <w:pPr>
        <w:spacing w:line="720" w:lineRule="auto"/>
        <w:jc w:val="center"/>
        <w:rPr>
          <w:rFonts w:eastAsia="黑体"/>
          <w:b/>
          <w:bCs/>
          <w:color w:val="000000"/>
          <w:sz w:val="44"/>
          <w:szCs w:val="44"/>
        </w:rPr>
      </w:pPr>
      <w:r>
        <w:rPr>
          <w:rFonts w:hint="eastAsia" w:eastAsia="黑体"/>
          <w:b/>
          <w:bCs/>
          <w:color w:val="000000"/>
          <w:sz w:val="44"/>
          <w:szCs w:val="44"/>
        </w:rPr>
        <w:t>液体散货码头装卸臂保养技术要求</w:t>
      </w:r>
    </w:p>
    <w:p w14:paraId="2C5D3BF3">
      <w:pPr>
        <w:spacing w:line="720" w:lineRule="auto"/>
        <w:jc w:val="center"/>
        <w:rPr>
          <w:rFonts w:eastAsia="黑体"/>
          <w:b/>
          <w:bCs/>
          <w:color w:val="000000"/>
          <w:sz w:val="44"/>
          <w:szCs w:val="44"/>
        </w:rPr>
      </w:pPr>
      <w:r>
        <w:rPr>
          <w:rFonts w:hint="eastAsia" w:eastAsia="黑体"/>
          <w:b/>
          <w:bCs/>
          <w:color w:val="000000"/>
          <w:sz w:val="44"/>
          <w:szCs w:val="44"/>
        </w:rPr>
        <w:t>（</w:t>
      </w:r>
      <w:r>
        <w:rPr>
          <w:rFonts w:hint="eastAsia" w:eastAsia="黑体"/>
          <w:b/>
          <w:bCs/>
          <w:color w:val="000000"/>
          <w:sz w:val="44"/>
          <w:szCs w:val="44"/>
          <w:lang w:val="en-US" w:eastAsia="zh-CN"/>
        </w:rPr>
        <w:t>征求意见</w:t>
      </w:r>
      <w:r>
        <w:rPr>
          <w:rFonts w:hint="eastAsia" w:eastAsia="黑体"/>
          <w:b/>
          <w:bCs/>
          <w:color w:val="000000"/>
          <w:sz w:val="44"/>
          <w:szCs w:val="44"/>
        </w:rPr>
        <w:t>稿）</w:t>
      </w:r>
    </w:p>
    <w:p w14:paraId="72C24D10">
      <w:pPr>
        <w:spacing w:line="720" w:lineRule="auto"/>
        <w:jc w:val="center"/>
        <w:rPr>
          <w:rFonts w:eastAsia="黑体"/>
          <w:b/>
          <w:bCs/>
          <w:color w:val="000000"/>
          <w:sz w:val="44"/>
          <w:szCs w:val="44"/>
        </w:rPr>
      </w:pPr>
      <w:r>
        <w:rPr>
          <w:rFonts w:hint="eastAsia" w:eastAsia="黑体"/>
          <w:b/>
          <w:bCs/>
          <w:color w:val="000000"/>
          <w:sz w:val="44"/>
          <w:szCs w:val="44"/>
        </w:rPr>
        <w:t>编制说明</w:t>
      </w:r>
    </w:p>
    <w:p w14:paraId="73E89295">
      <w:pPr>
        <w:spacing w:line="360" w:lineRule="auto"/>
        <w:ind w:firstLine="435"/>
        <w:jc w:val="center"/>
        <w:rPr>
          <w:rFonts w:eastAsia="黑体"/>
          <w:b/>
          <w:bCs/>
          <w:color w:val="000000"/>
          <w:sz w:val="28"/>
          <w:szCs w:val="28"/>
        </w:rPr>
      </w:pPr>
    </w:p>
    <w:p w14:paraId="511933FF">
      <w:pPr>
        <w:spacing w:line="360" w:lineRule="auto"/>
        <w:ind w:firstLine="435"/>
        <w:jc w:val="center"/>
        <w:rPr>
          <w:rFonts w:eastAsia="黑体"/>
          <w:b/>
          <w:bCs/>
          <w:color w:val="000000"/>
          <w:sz w:val="28"/>
        </w:rPr>
      </w:pPr>
    </w:p>
    <w:p w14:paraId="5554E942">
      <w:pPr>
        <w:spacing w:line="360" w:lineRule="auto"/>
        <w:ind w:firstLine="435"/>
        <w:jc w:val="center"/>
        <w:rPr>
          <w:rFonts w:eastAsia="黑体"/>
          <w:b/>
          <w:bCs/>
          <w:color w:val="000000"/>
          <w:sz w:val="28"/>
          <w:szCs w:val="28"/>
        </w:rPr>
      </w:pPr>
    </w:p>
    <w:p w14:paraId="1A7BE2A4">
      <w:pPr>
        <w:spacing w:line="360" w:lineRule="auto"/>
        <w:ind w:firstLine="435"/>
        <w:jc w:val="center"/>
        <w:rPr>
          <w:rFonts w:eastAsia="黑体"/>
          <w:b/>
          <w:bCs/>
          <w:color w:val="000000"/>
          <w:sz w:val="28"/>
          <w:szCs w:val="28"/>
        </w:rPr>
      </w:pPr>
    </w:p>
    <w:p w14:paraId="2D07F275">
      <w:pPr>
        <w:spacing w:line="360" w:lineRule="auto"/>
        <w:ind w:firstLine="435"/>
        <w:jc w:val="center"/>
        <w:rPr>
          <w:rFonts w:eastAsia="黑体"/>
          <w:b/>
          <w:bCs/>
          <w:color w:val="000000"/>
          <w:sz w:val="28"/>
          <w:szCs w:val="28"/>
        </w:rPr>
      </w:pPr>
    </w:p>
    <w:p w14:paraId="2D95C101">
      <w:pPr>
        <w:spacing w:line="360" w:lineRule="auto"/>
        <w:ind w:firstLine="435"/>
        <w:jc w:val="center"/>
        <w:rPr>
          <w:rFonts w:eastAsia="黑体"/>
          <w:b/>
          <w:bCs/>
          <w:color w:val="000000"/>
          <w:sz w:val="28"/>
          <w:szCs w:val="28"/>
        </w:rPr>
      </w:pPr>
    </w:p>
    <w:p w14:paraId="0124C1F2">
      <w:pPr>
        <w:spacing w:line="360" w:lineRule="auto"/>
        <w:ind w:firstLine="435"/>
        <w:jc w:val="center"/>
        <w:rPr>
          <w:rFonts w:eastAsia="黑体"/>
          <w:b/>
          <w:bCs/>
          <w:color w:val="000000"/>
          <w:sz w:val="28"/>
          <w:szCs w:val="28"/>
        </w:rPr>
      </w:pPr>
    </w:p>
    <w:p w14:paraId="74E0D240">
      <w:pPr>
        <w:spacing w:line="360" w:lineRule="auto"/>
        <w:ind w:firstLine="435"/>
        <w:jc w:val="center"/>
        <w:rPr>
          <w:rFonts w:eastAsia="黑体"/>
          <w:b/>
          <w:bCs/>
          <w:color w:val="000000"/>
          <w:sz w:val="28"/>
          <w:szCs w:val="28"/>
        </w:rPr>
      </w:pPr>
    </w:p>
    <w:p w14:paraId="5DDD0068">
      <w:pPr>
        <w:spacing w:line="360" w:lineRule="auto"/>
        <w:jc w:val="center"/>
        <w:rPr>
          <w:rFonts w:eastAsia="黑体"/>
          <w:b/>
          <w:bCs/>
          <w:color w:val="000000"/>
          <w:sz w:val="32"/>
          <w:szCs w:val="32"/>
        </w:rPr>
      </w:pPr>
      <w:r>
        <w:rPr>
          <w:rFonts w:hint="eastAsia" w:eastAsia="黑体"/>
          <w:b/>
          <w:bCs/>
          <w:color w:val="000000"/>
          <w:sz w:val="32"/>
          <w:szCs w:val="32"/>
        </w:rPr>
        <w:t xml:space="preserve">  标准编制组</w:t>
      </w:r>
    </w:p>
    <w:p w14:paraId="5D0F7A26">
      <w:pPr>
        <w:spacing w:line="360" w:lineRule="auto"/>
        <w:jc w:val="center"/>
        <w:rPr>
          <w:rFonts w:eastAsia="黑体"/>
          <w:b/>
          <w:bCs/>
          <w:color w:val="000000"/>
          <w:sz w:val="32"/>
          <w:szCs w:val="32"/>
        </w:rPr>
      </w:pPr>
      <w:r>
        <w:rPr>
          <w:rFonts w:hint="eastAsia" w:eastAsia="黑体"/>
          <w:b/>
          <w:bCs/>
          <w:color w:val="000000"/>
          <w:sz w:val="32"/>
          <w:szCs w:val="32"/>
        </w:rPr>
        <w:t xml:space="preserve">  2025年</w:t>
      </w:r>
      <w:r>
        <w:rPr>
          <w:rFonts w:hint="eastAsia" w:eastAsia="黑体"/>
          <w:b/>
          <w:bCs/>
          <w:color w:val="000000"/>
          <w:sz w:val="32"/>
          <w:szCs w:val="32"/>
          <w:lang w:val="en-US" w:eastAsia="zh-CN"/>
        </w:rPr>
        <w:t>9</w:t>
      </w:r>
      <w:r>
        <w:rPr>
          <w:rFonts w:hint="eastAsia" w:eastAsia="黑体"/>
          <w:b/>
          <w:bCs/>
          <w:color w:val="000000"/>
          <w:sz w:val="32"/>
          <w:szCs w:val="32"/>
        </w:rPr>
        <w:t>月</w:t>
      </w:r>
    </w:p>
    <w:p w14:paraId="001FEA6A">
      <w:pPr>
        <w:widowControl/>
        <w:jc w:val="left"/>
        <w:rPr>
          <w:rFonts w:eastAsia="黑体"/>
          <w:b/>
          <w:bCs/>
          <w:color w:val="000000"/>
          <w:sz w:val="28"/>
        </w:rPr>
      </w:pPr>
      <w:r>
        <w:rPr>
          <w:rFonts w:eastAsia="黑体"/>
          <w:b/>
          <w:bCs/>
          <w:color w:val="000000"/>
          <w:sz w:val="28"/>
        </w:rPr>
        <w:br w:type="page"/>
      </w:r>
    </w:p>
    <w:p w14:paraId="28134264"/>
    <w:p w14:paraId="52753494">
      <w:pPr>
        <w:spacing w:line="360" w:lineRule="auto"/>
        <w:jc w:val="center"/>
        <w:rPr>
          <w:rFonts w:eastAsia="黑体"/>
          <w:b/>
          <w:bCs/>
          <w:color w:val="000000"/>
          <w:sz w:val="32"/>
          <w:szCs w:val="32"/>
        </w:rPr>
      </w:pPr>
      <w:bookmarkStart w:id="0" w:name="_Toc486254126"/>
      <w:r>
        <w:rPr>
          <w:rFonts w:hint="eastAsia" w:eastAsia="黑体"/>
          <w:b/>
          <w:bCs/>
          <w:color w:val="000000"/>
          <w:sz w:val="32"/>
          <w:szCs w:val="32"/>
        </w:rPr>
        <w:t>目  录</w:t>
      </w:r>
      <w:bookmarkEnd w:id="0"/>
    </w:p>
    <w:p w14:paraId="4A1B4D23">
      <w:pPr>
        <w:pStyle w:val="12"/>
        <w:tabs>
          <w:tab w:val="right" w:leader="dot" w:pos="8278"/>
          <w:tab w:val="clear" w:pos="8296"/>
        </w:tabs>
      </w:pPr>
      <w:r>
        <w:rPr>
          <w:rStyle w:val="22"/>
        </w:rPr>
        <w:fldChar w:fldCharType="begin"/>
      </w:r>
      <w:r>
        <w:rPr>
          <w:rStyle w:val="22"/>
          <w:rFonts w:ascii="Times New Roman" w:hAnsi="Times New Roman"/>
        </w:rPr>
        <w:instrText xml:space="preserve"> </w:instrText>
      </w:r>
      <w:r>
        <w:rPr>
          <w:rStyle w:val="22"/>
          <w:rFonts w:hint="eastAsia" w:ascii="Times New Roman" w:hAnsi="Times New Roman"/>
        </w:rPr>
        <w:instrText xml:space="preserve">TOC \o "1-1" \h \z \u</w:instrText>
      </w:r>
      <w:r>
        <w:rPr>
          <w:rStyle w:val="22"/>
          <w:rFonts w:ascii="Times New Roman" w:hAnsi="Times New Roman"/>
        </w:rPr>
        <w:instrText xml:space="preserve"> </w:instrText>
      </w:r>
      <w:r>
        <w:rPr>
          <w:rStyle w:val="22"/>
        </w:rPr>
        <w:fldChar w:fldCharType="separate"/>
      </w:r>
      <w:r>
        <w:fldChar w:fldCharType="begin"/>
      </w:r>
      <w:r>
        <w:instrText xml:space="preserve"> HYPERLINK \l _Toc3635 </w:instrText>
      </w:r>
      <w:r>
        <w:fldChar w:fldCharType="separate"/>
      </w:r>
      <w:r>
        <w:rPr>
          <w:rFonts w:hint="eastAsia" w:eastAsiaTheme="minorEastAsia"/>
          <w:szCs w:val="24"/>
        </w:rPr>
        <w:t>一、工作简况</w:t>
      </w:r>
      <w:r>
        <w:tab/>
      </w:r>
      <w:r>
        <w:fldChar w:fldCharType="begin"/>
      </w:r>
      <w:r>
        <w:instrText xml:space="preserve"> PAGEREF _Toc3635 \h </w:instrText>
      </w:r>
      <w:r>
        <w:fldChar w:fldCharType="separate"/>
      </w:r>
      <w:r>
        <w:t>1</w:t>
      </w:r>
      <w:r>
        <w:fldChar w:fldCharType="end"/>
      </w:r>
      <w:r>
        <w:fldChar w:fldCharType="end"/>
      </w:r>
    </w:p>
    <w:p w14:paraId="6B12FF12">
      <w:pPr>
        <w:pStyle w:val="12"/>
        <w:tabs>
          <w:tab w:val="right" w:leader="dot" w:pos="8278"/>
          <w:tab w:val="clear" w:pos="8296"/>
        </w:tabs>
      </w:pPr>
      <w:r>
        <w:rPr>
          <w:rFonts w:ascii="Times New Roman" w:hAnsi="Times New Roman"/>
        </w:rPr>
        <w:fldChar w:fldCharType="begin"/>
      </w:r>
      <w:r>
        <w:rPr>
          <w:rFonts w:ascii="Times New Roman" w:hAnsi="Times New Roman"/>
        </w:rPr>
        <w:instrText xml:space="preserve"> HYPERLINK \l _Toc2125 </w:instrText>
      </w:r>
      <w:r>
        <w:rPr>
          <w:rFonts w:ascii="Times New Roman" w:hAnsi="Times New Roman"/>
        </w:rPr>
        <w:fldChar w:fldCharType="separate"/>
      </w:r>
      <w:r>
        <w:rPr>
          <w:rFonts w:hint="eastAsia" w:eastAsiaTheme="minorEastAsia"/>
          <w:szCs w:val="24"/>
        </w:rPr>
        <w:t>二、国家标准编制原则、主要内容及其确定依据</w:t>
      </w:r>
      <w:r>
        <w:tab/>
      </w:r>
      <w:r>
        <w:fldChar w:fldCharType="begin"/>
      </w:r>
      <w:r>
        <w:instrText xml:space="preserve"> PAGEREF _Toc2125 \h </w:instrText>
      </w:r>
      <w:r>
        <w:fldChar w:fldCharType="separate"/>
      </w:r>
      <w:r>
        <w:t>3</w:t>
      </w:r>
      <w:r>
        <w:fldChar w:fldCharType="end"/>
      </w:r>
      <w:r>
        <w:rPr>
          <w:rFonts w:ascii="Times New Roman" w:hAnsi="Times New Roman"/>
        </w:rPr>
        <w:fldChar w:fldCharType="end"/>
      </w:r>
    </w:p>
    <w:p w14:paraId="2582B7A5">
      <w:pPr>
        <w:pStyle w:val="12"/>
        <w:tabs>
          <w:tab w:val="right" w:leader="dot" w:pos="8278"/>
          <w:tab w:val="clear" w:pos="8296"/>
        </w:tabs>
      </w:pPr>
      <w:r>
        <w:rPr>
          <w:rFonts w:ascii="Times New Roman" w:hAnsi="Times New Roman"/>
        </w:rPr>
        <w:fldChar w:fldCharType="begin"/>
      </w:r>
      <w:r>
        <w:rPr>
          <w:rFonts w:ascii="Times New Roman" w:hAnsi="Times New Roman"/>
        </w:rPr>
        <w:instrText xml:space="preserve"> HYPERLINK \l _Toc15986 </w:instrText>
      </w:r>
      <w:r>
        <w:rPr>
          <w:rFonts w:ascii="Times New Roman" w:hAnsi="Times New Roman"/>
        </w:rPr>
        <w:fldChar w:fldCharType="separate"/>
      </w:r>
      <w:r>
        <w:rPr>
          <w:rFonts w:hint="eastAsia" w:eastAsiaTheme="minorEastAsia"/>
          <w:szCs w:val="24"/>
        </w:rPr>
        <w:t>三、</w:t>
      </w:r>
      <w:r>
        <w:rPr>
          <w:rFonts w:ascii="宋体" w:hAnsi="宋体"/>
          <w:szCs w:val="24"/>
        </w:rPr>
        <w:t>试验验证的分析</w:t>
      </w:r>
      <w:r>
        <w:rPr>
          <w:rFonts w:hint="eastAsia" w:ascii="宋体" w:hAnsi="宋体"/>
          <w:szCs w:val="24"/>
        </w:rPr>
        <w:t>、</w:t>
      </w:r>
      <w:r>
        <w:rPr>
          <w:rFonts w:hint="eastAsia" w:eastAsiaTheme="minorEastAsia"/>
          <w:szCs w:val="24"/>
        </w:rPr>
        <w:t>预期的经济效益、社会效益</w:t>
      </w:r>
      <w:r>
        <w:tab/>
      </w:r>
      <w:r>
        <w:fldChar w:fldCharType="begin"/>
      </w:r>
      <w:r>
        <w:instrText xml:space="preserve"> PAGEREF _Toc15986 \h </w:instrText>
      </w:r>
      <w:r>
        <w:fldChar w:fldCharType="separate"/>
      </w:r>
      <w:r>
        <w:t>7</w:t>
      </w:r>
      <w:r>
        <w:fldChar w:fldCharType="end"/>
      </w:r>
      <w:r>
        <w:rPr>
          <w:rFonts w:ascii="Times New Roman" w:hAnsi="Times New Roman"/>
        </w:rPr>
        <w:fldChar w:fldCharType="end"/>
      </w:r>
    </w:p>
    <w:p w14:paraId="67F8C2AC">
      <w:pPr>
        <w:pStyle w:val="12"/>
        <w:tabs>
          <w:tab w:val="right" w:leader="dot" w:pos="8278"/>
          <w:tab w:val="clear" w:pos="8296"/>
        </w:tabs>
      </w:pPr>
      <w:r>
        <w:rPr>
          <w:rFonts w:ascii="Times New Roman" w:hAnsi="Times New Roman"/>
        </w:rPr>
        <w:fldChar w:fldCharType="begin"/>
      </w:r>
      <w:r>
        <w:rPr>
          <w:rFonts w:ascii="Times New Roman" w:hAnsi="Times New Roman"/>
        </w:rPr>
        <w:instrText xml:space="preserve"> HYPERLINK \l _Toc21718 </w:instrText>
      </w:r>
      <w:r>
        <w:rPr>
          <w:rFonts w:ascii="Times New Roman" w:hAnsi="Times New Roman"/>
        </w:rPr>
        <w:fldChar w:fldCharType="separate"/>
      </w:r>
      <w:r>
        <w:rPr>
          <w:rFonts w:hint="eastAsia" w:ascii="Times New Roman" w:hAnsi="Times New Roman" w:cs="Times New Roman" w:eastAsiaTheme="minorEastAsia"/>
          <w:szCs w:val="24"/>
          <w:lang w:val="en-US" w:eastAsia="zh-CN"/>
        </w:rPr>
        <w:t>四、</w:t>
      </w:r>
      <w:r>
        <w:rPr>
          <w:rFonts w:hint="eastAsia" w:asciiTheme="minorEastAsia" w:hAnsiTheme="minorEastAsia" w:eastAsiaTheme="minorEastAsia"/>
          <w:szCs w:val="24"/>
        </w:rPr>
        <w:t>采用国际标准和国外先进标准的程度</w:t>
      </w:r>
      <w:r>
        <w:tab/>
      </w:r>
      <w:r>
        <w:fldChar w:fldCharType="begin"/>
      </w:r>
      <w:r>
        <w:instrText xml:space="preserve"> PAGEREF _Toc21718 \h </w:instrText>
      </w:r>
      <w:r>
        <w:fldChar w:fldCharType="separate"/>
      </w:r>
      <w:r>
        <w:t>9</w:t>
      </w:r>
      <w:r>
        <w:fldChar w:fldCharType="end"/>
      </w:r>
      <w:r>
        <w:rPr>
          <w:rFonts w:ascii="Times New Roman" w:hAnsi="Times New Roman"/>
        </w:rPr>
        <w:fldChar w:fldCharType="end"/>
      </w:r>
    </w:p>
    <w:p w14:paraId="4EED8E4D">
      <w:pPr>
        <w:pStyle w:val="12"/>
        <w:tabs>
          <w:tab w:val="right" w:leader="dot" w:pos="8278"/>
          <w:tab w:val="clear" w:pos="8296"/>
        </w:tabs>
      </w:pPr>
      <w:r>
        <w:rPr>
          <w:rFonts w:ascii="Times New Roman" w:hAnsi="Times New Roman"/>
        </w:rPr>
        <w:fldChar w:fldCharType="begin"/>
      </w:r>
      <w:r>
        <w:rPr>
          <w:rFonts w:ascii="Times New Roman" w:hAnsi="Times New Roman"/>
        </w:rPr>
        <w:instrText xml:space="preserve"> HYPERLINK \l _Toc13469 </w:instrText>
      </w:r>
      <w:r>
        <w:rPr>
          <w:rFonts w:ascii="Times New Roman" w:hAnsi="Times New Roman"/>
        </w:rPr>
        <w:fldChar w:fldCharType="separate"/>
      </w:r>
      <w:r>
        <w:rPr>
          <w:rFonts w:hint="eastAsia" w:asciiTheme="minorEastAsia" w:hAnsiTheme="minorEastAsia" w:eastAsiaTheme="minorEastAsia"/>
          <w:szCs w:val="24"/>
        </w:rPr>
        <w:t>五、与有关的现行法律、法规和强制性国家标准的关系</w:t>
      </w:r>
      <w:r>
        <w:tab/>
      </w:r>
      <w:r>
        <w:fldChar w:fldCharType="begin"/>
      </w:r>
      <w:r>
        <w:instrText xml:space="preserve"> PAGEREF _Toc13469 \h </w:instrText>
      </w:r>
      <w:r>
        <w:fldChar w:fldCharType="separate"/>
      </w:r>
      <w:r>
        <w:t>9</w:t>
      </w:r>
      <w:r>
        <w:fldChar w:fldCharType="end"/>
      </w:r>
      <w:r>
        <w:rPr>
          <w:rFonts w:ascii="Times New Roman" w:hAnsi="Times New Roman"/>
        </w:rPr>
        <w:fldChar w:fldCharType="end"/>
      </w:r>
    </w:p>
    <w:p w14:paraId="270F5651">
      <w:pPr>
        <w:pStyle w:val="12"/>
        <w:tabs>
          <w:tab w:val="right" w:leader="dot" w:pos="8278"/>
          <w:tab w:val="clear" w:pos="8296"/>
        </w:tabs>
      </w:pPr>
      <w:r>
        <w:rPr>
          <w:rFonts w:ascii="Times New Roman" w:hAnsi="Times New Roman"/>
        </w:rPr>
        <w:fldChar w:fldCharType="begin"/>
      </w:r>
      <w:r>
        <w:rPr>
          <w:rFonts w:ascii="Times New Roman" w:hAnsi="Times New Roman"/>
        </w:rPr>
        <w:instrText xml:space="preserve"> HYPERLINK \l _Toc1059 </w:instrText>
      </w:r>
      <w:r>
        <w:rPr>
          <w:rFonts w:ascii="Times New Roman" w:hAnsi="Times New Roman"/>
        </w:rPr>
        <w:fldChar w:fldCharType="separate"/>
      </w:r>
      <w:r>
        <w:rPr>
          <w:rFonts w:hint="eastAsia" w:eastAsiaTheme="minorEastAsia"/>
          <w:szCs w:val="24"/>
          <w:lang w:val="en-US" w:eastAsia="zh-CN"/>
        </w:rPr>
        <w:t>六</w:t>
      </w:r>
      <w:r>
        <w:rPr>
          <w:rFonts w:hint="eastAsia" w:eastAsiaTheme="minorEastAsia"/>
          <w:szCs w:val="24"/>
        </w:rPr>
        <w:t>、重大分歧意见的处理经过和依据</w:t>
      </w:r>
      <w:r>
        <w:tab/>
      </w:r>
      <w:r>
        <w:fldChar w:fldCharType="begin"/>
      </w:r>
      <w:r>
        <w:instrText xml:space="preserve"> PAGEREF _Toc1059 \h </w:instrText>
      </w:r>
      <w:r>
        <w:fldChar w:fldCharType="separate"/>
      </w:r>
      <w:r>
        <w:t>9</w:t>
      </w:r>
      <w:r>
        <w:fldChar w:fldCharType="end"/>
      </w:r>
      <w:r>
        <w:rPr>
          <w:rFonts w:ascii="Times New Roman" w:hAnsi="Times New Roman"/>
        </w:rPr>
        <w:fldChar w:fldCharType="end"/>
      </w:r>
    </w:p>
    <w:p w14:paraId="47D1A744">
      <w:pPr>
        <w:pStyle w:val="12"/>
        <w:tabs>
          <w:tab w:val="right" w:leader="dot" w:pos="8278"/>
          <w:tab w:val="clear" w:pos="8296"/>
        </w:tabs>
      </w:pPr>
      <w:r>
        <w:rPr>
          <w:rFonts w:ascii="Times New Roman" w:hAnsi="Times New Roman"/>
        </w:rPr>
        <w:fldChar w:fldCharType="begin"/>
      </w:r>
      <w:r>
        <w:rPr>
          <w:rFonts w:ascii="Times New Roman" w:hAnsi="Times New Roman"/>
        </w:rPr>
        <w:instrText xml:space="preserve"> HYPERLINK \l _Toc501 </w:instrText>
      </w:r>
      <w:r>
        <w:rPr>
          <w:rFonts w:ascii="Times New Roman" w:hAnsi="Times New Roman"/>
        </w:rPr>
        <w:fldChar w:fldCharType="separate"/>
      </w:r>
      <w:r>
        <w:rPr>
          <w:rFonts w:hint="eastAsia" w:asciiTheme="minorEastAsia" w:hAnsiTheme="minorEastAsia" w:eastAsiaTheme="minorEastAsia"/>
          <w:szCs w:val="24"/>
        </w:rPr>
        <w:t>七、标准过渡期的建议</w:t>
      </w:r>
      <w:r>
        <w:tab/>
      </w:r>
      <w:r>
        <w:fldChar w:fldCharType="begin"/>
      </w:r>
      <w:r>
        <w:instrText xml:space="preserve"> PAGEREF _Toc501 \h </w:instrText>
      </w:r>
      <w:r>
        <w:fldChar w:fldCharType="separate"/>
      </w:r>
      <w:r>
        <w:t>9</w:t>
      </w:r>
      <w:r>
        <w:fldChar w:fldCharType="end"/>
      </w:r>
      <w:r>
        <w:rPr>
          <w:rFonts w:ascii="Times New Roman" w:hAnsi="Times New Roman"/>
        </w:rPr>
        <w:fldChar w:fldCharType="end"/>
      </w:r>
    </w:p>
    <w:p w14:paraId="706E4808">
      <w:pPr>
        <w:pStyle w:val="12"/>
        <w:tabs>
          <w:tab w:val="right" w:leader="dot" w:pos="8278"/>
          <w:tab w:val="clear" w:pos="8296"/>
        </w:tabs>
      </w:pPr>
      <w:r>
        <w:rPr>
          <w:rFonts w:ascii="Times New Roman" w:hAnsi="Times New Roman"/>
        </w:rPr>
        <w:fldChar w:fldCharType="begin"/>
      </w:r>
      <w:r>
        <w:rPr>
          <w:rFonts w:ascii="Times New Roman" w:hAnsi="Times New Roman"/>
        </w:rPr>
        <w:instrText xml:space="preserve"> HYPERLINK \l _Toc22660 </w:instrText>
      </w:r>
      <w:r>
        <w:rPr>
          <w:rFonts w:ascii="Times New Roman" w:hAnsi="Times New Roman"/>
        </w:rPr>
        <w:fldChar w:fldCharType="separate"/>
      </w:r>
      <w:r>
        <w:rPr>
          <w:rFonts w:hint="eastAsia" w:asciiTheme="minorEastAsia" w:hAnsiTheme="minorEastAsia" w:eastAsiaTheme="minorEastAsia"/>
          <w:szCs w:val="24"/>
        </w:rPr>
        <w:t>八、废止现行有关标准的建议</w:t>
      </w:r>
      <w:r>
        <w:tab/>
      </w:r>
      <w:r>
        <w:fldChar w:fldCharType="begin"/>
      </w:r>
      <w:r>
        <w:instrText xml:space="preserve"> PAGEREF _Toc22660 \h </w:instrText>
      </w:r>
      <w:r>
        <w:fldChar w:fldCharType="separate"/>
      </w:r>
      <w:r>
        <w:t>9</w:t>
      </w:r>
      <w:r>
        <w:fldChar w:fldCharType="end"/>
      </w:r>
      <w:r>
        <w:rPr>
          <w:rFonts w:ascii="Times New Roman" w:hAnsi="Times New Roman"/>
        </w:rPr>
        <w:fldChar w:fldCharType="end"/>
      </w:r>
    </w:p>
    <w:p w14:paraId="670490A9">
      <w:pPr>
        <w:pStyle w:val="12"/>
        <w:tabs>
          <w:tab w:val="right" w:leader="dot" w:pos="8278"/>
          <w:tab w:val="clear" w:pos="8296"/>
        </w:tabs>
      </w:pPr>
      <w:r>
        <w:rPr>
          <w:rFonts w:ascii="Times New Roman" w:hAnsi="Times New Roman"/>
        </w:rPr>
        <w:fldChar w:fldCharType="begin"/>
      </w:r>
      <w:r>
        <w:rPr>
          <w:rFonts w:ascii="Times New Roman" w:hAnsi="Times New Roman"/>
        </w:rPr>
        <w:instrText xml:space="preserve"> HYPERLINK \l _Toc25911 </w:instrText>
      </w:r>
      <w:r>
        <w:rPr>
          <w:rFonts w:ascii="Times New Roman" w:hAnsi="Times New Roman"/>
        </w:rPr>
        <w:fldChar w:fldCharType="separate"/>
      </w:r>
      <w:r>
        <w:rPr>
          <w:rFonts w:hint="eastAsia" w:asciiTheme="minorEastAsia" w:hAnsiTheme="minorEastAsia" w:eastAsiaTheme="minorEastAsia"/>
          <w:szCs w:val="24"/>
        </w:rPr>
        <w:t>九、其他应予说明的事项</w:t>
      </w:r>
      <w:r>
        <w:tab/>
      </w:r>
      <w:r>
        <w:fldChar w:fldCharType="begin"/>
      </w:r>
      <w:r>
        <w:instrText xml:space="preserve"> PAGEREF _Toc25911 \h </w:instrText>
      </w:r>
      <w:r>
        <w:fldChar w:fldCharType="separate"/>
      </w:r>
      <w:r>
        <w:t>9</w:t>
      </w:r>
      <w:r>
        <w:fldChar w:fldCharType="end"/>
      </w:r>
      <w:r>
        <w:rPr>
          <w:rFonts w:ascii="Times New Roman" w:hAnsi="Times New Roman"/>
        </w:rPr>
        <w:fldChar w:fldCharType="end"/>
      </w:r>
    </w:p>
    <w:p w14:paraId="3F50D1DA">
      <w:pPr>
        <w:pStyle w:val="12"/>
        <w:spacing w:before="156"/>
        <w:rPr>
          <w:rFonts w:ascii="Times New Roman" w:hAnsi="Times New Roman"/>
        </w:rPr>
      </w:pPr>
      <w:r>
        <w:rPr>
          <w:rFonts w:ascii="Times New Roman" w:hAnsi="Times New Roman"/>
        </w:rPr>
        <w:fldChar w:fldCharType="end"/>
      </w:r>
    </w:p>
    <w:p w14:paraId="449068DC"/>
    <w:p w14:paraId="76BECF1B"/>
    <w:p w14:paraId="34E26E31"/>
    <w:p w14:paraId="04BA6E62"/>
    <w:p w14:paraId="069A1241"/>
    <w:p w14:paraId="7F223B46">
      <w:pPr>
        <w:widowControl/>
        <w:jc w:val="left"/>
        <w:rPr>
          <w:b/>
          <w:bCs/>
          <w:sz w:val="32"/>
          <w:szCs w:val="32"/>
        </w:rPr>
      </w:pPr>
      <w:bookmarkStart w:id="1" w:name="_Toc486254127"/>
      <w:r>
        <w:rPr>
          <w:b/>
          <w:bCs/>
          <w:sz w:val="32"/>
          <w:szCs w:val="32"/>
        </w:rPr>
        <w:br w:type="page"/>
      </w:r>
    </w:p>
    <w:p w14:paraId="19020C0A">
      <w:pPr>
        <w:spacing w:line="360" w:lineRule="auto"/>
        <w:jc w:val="center"/>
        <w:rPr>
          <w:b/>
          <w:bCs/>
          <w:sz w:val="32"/>
          <w:szCs w:val="32"/>
        </w:rPr>
        <w:sectPr>
          <w:footerReference r:id="rId4" w:type="first"/>
          <w:footerReference r:id="rId3" w:type="default"/>
          <w:pgSz w:w="11906" w:h="16838"/>
          <w:pgMar w:top="1588" w:right="1814" w:bottom="1588" w:left="1814" w:header="851" w:footer="992" w:gutter="0"/>
          <w:pgNumType w:fmt="numberInDash" w:start="0"/>
          <w:cols w:space="425" w:num="1"/>
          <w:titlePg/>
          <w:docGrid w:type="lines" w:linePitch="312" w:charSpace="0"/>
        </w:sectPr>
      </w:pPr>
    </w:p>
    <w:bookmarkEnd w:id="1"/>
    <w:p w14:paraId="21D8354D">
      <w:pPr>
        <w:pStyle w:val="2"/>
        <w:spacing w:before="0" w:after="0" w:line="360" w:lineRule="auto"/>
        <w:ind w:firstLine="480" w:firstLineChars="200"/>
        <w:rPr>
          <w:rFonts w:eastAsiaTheme="minorEastAsia"/>
          <w:sz w:val="24"/>
          <w:szCs w:val="24"/>
        </w:rPr>
      </w:pPr>
      <w:bookmarkStart w:id="2" w:name="_Toc25361"/>
      <w:bookmarkStart w:id="3" w:name="_Toc196322266"/>
      <w:bookmarkStart w:id="4" w:name="_Toc26891"/>
      <w:bookmarkStart w:id="5" w:name="_Toc3635"/>
      <w:bookmarkStart w:id="6" w:name="_Toc16626"/>
      <w:r>
        <w:rPr>
          <w:rFonts w:hint="eastAsia" w:eastAsiaTheme="minorEastAsia"/>
          <w:sz w:val="24"/>
          <w:szCs w:val="24"/>
        </w:rPr>
        <w:t>一、工作简况</w:t>
      </w:r>
      <w:bookmarkEnd w:id="2"/>
      <w:bookmarkEnd w:id="3"/>
      <w:bookmarkEnd w:id="4"/>
      <w:bookmarkEnd w:id="5"/>
      <w:bookmarkEnd w:id="6"/>
    </w:p>
    <w:p w14:paraId="0F3D1861">
      <w:pPr>
        <w:spacing w:line="360" w:lineRule="auto"/>
        <w:ind w:firstLine="480" w:firstLineChars="200"/>
        <w:outlineLvl w:val="1"/>
        <w:rPr>
          <w:rFonts w:eastAsiaTheme="minorEastAsia"/>
          <w:b/>
          <w:sz w:val="24"/>
        </w:rPr>
      </w:pPr>
      <w:r>
        <w:rPr>
          <w:rFonts w:hint="eastAsia" w:eastAsiaTheme="minorEastAsia"/>
          <w:b/>
          <w:sz w:val="24"/>
        </w:rPr>
        <w:t>（一）任务来源</w:t>
      </w:r>
    </w:p>
    <w:p w14:paraId="03FFADEB">
      <w:pPr>
        <w:spacing w:line="360" w:lineRule="auto"/>
        <w:ind w:firstLine="480"/>
        <w:rPr>
          <w:rFonts w:asciiTheme="minorEastAsia" w:hAnsiTheme="minorEastAsia"/>
          <w:sz w:val="24"/>
          <w:szCs w:val="24"/>
        </w:rPr>
      </w:pPr>
      <w:r>
        <w:rPr>
          <w:rFonts w:hint="eastAsia"/>
          <w:sz w:val="24"/>
        </w:rPr>
        <w:t>根据中国港口协会关于下达《</w:t>
      </w:r>
      <w:r>
        <w:rPr>
          <w:rFonts w:hint="eastAsia" w:ascii="宋体" w:hAnsi="宋体"/>
          <w:sz w:val="24"/>
        </w:rPr>
        <w:t>2024年度中国港口协会团体标准化计划(第二批)</w:t>
      </w:r>
      <w:r>
        <w:rPr>
          <w:rFonts w:hint="eastAsia"/>
          <w:sz w:val="24"/>
        </w:rPr>
        <w:t>》的通知</w:t>
      </w:r>
      <w:r>
        <w:rPr>
          <w:rFonts w:hint="eastAsia"/>
          <w:sz w:val="24"/>
          <w:lang w:eastAsia="zh-CN"/>
        </w:rPr>
        <w:t>（</w:t>
      </w:r>
      <w:r>
        <w:rPr>
          <w:rFonts w:hint="eastAsia" w:ascii="宋体" w:hAnsi="宋体"/>
          <w:sz w:val="24"/>
        </w:rPr>
        <w:t>中港协行函[2024]52号</w:t>
      </w:r>
      <w:r>
        <w:rPr>
          <w:rFonts w:hint="eastAsia"/>
          <w:sz w:val="24"/>
          <w:lang w:eastAsia="zh-CN"/>
        </w:rPr>
        <w:t>）</w:t>
      </w:r>
      <w:r>
        <w:rPr>
          <w:rFonts w:hint="eastAsia"/>
          <w:sz w:val="24"/>
        </w:rPr>
        <w:t>，由龙口滨港液体化工码头有限公司</w:t>
      </w:r>
      <w:r>
        <w:rPr>
          <w:rFonts w:hint="eastAsia"/>
          <w:sz w:val="24"/>
          <w:lang w:val="en-US" w:eastAsia="zh-CN"/>
        </w:rPr>
        <w:t>牵头编制</w:t>
      </w:r>
      <w:r>
        <w:rPr>
          <w:rFonts w:hint="eastAsia"/>
          <w:sz w:val="24"/>
        </w:rPr>
        <w:t>《港口液体散货码头装卸臂保养技术要求》，计划编号为2024-33。标准性质为</w:t>
      </w:r>
      <w:r>
        <w:rPr>
          <w:rFonts w:hint="eastAsia" w:asciiTheme="minorEastAsia" w:hAnsiTheme="minorEastAsia" w:eastAsiaTheme="minorEastAsia"/>
          <w:kern w:val="2"/>
          <w:sz w:val="24"/>
          <w:szCs w:val="24"/>
        </w:rPr>
        <w:t>推荐性</w:t>
      </w:r>
      <w:r>
        <w:rPr>
          <w:rFonts w:hint="eastAsia" w:asciiTheme="minorEastAsia" w:hAnsiTheme="minorEastAsia" w:eastAsiaTheme="minorEastAsia"/>
          <w:kern w:val="2"/>
          <w:sz w:val="24"/>
          <w:szCs w:val="24"/>
          <w:lang w:val="en-US" w:eastAsia="zh-CN"/>
        </w:rPr>
        <w:t>中国港口协会团体</w:t>
      </w:r>
      <w:r>
        <w:rPr>
          <w:rFonts w:hint="eastAsia" w:asciiTheme="minorEastAsia" w:hAnsiTheme="minorEastAsia" w:eastAsiaTheme="minorEastAsia"/>
          <w:kern w:val="2"/>
          <w:sz w:val="24"/>
          <w:szCs w:val="24"/>
        </w:rPr>
        <w:t>标准</w:t>
      </w:r>
      <w:r>
        <w:rPr>
          <w:rFonts w:hint="eastAsia"/>
          <w:sz w:val="24"/>
        </w:rPr>
        <w:t>；归口单位为中国港口协会；计划完成时间202</w:t>
      </w:r>
      <w:r>
        <w:rPr>
          <w:rFonts w:hint="eastAsia"/>
          <w:sz w:val="24"/>
          <w:lang w:val="en-US" w:eastAsia="zh-CN"/>
        </w:rPr>
        <w:t>5</w:t>
      </w:r>
      <w:r>
        <w:rPr>
          <w:rFonts w:hint="eastAsia"/>
          <w:sz w:val="24"/>
        </w:rPr>
        <w:t>年12月。</w:t>
      </w:r>
    </w:p>
    <w:p w14:paraId="67B57B29">
      <w:pPr>
        <w:spacing w:line="360" w:lineRule="auto"/>
        <w:ind w:firstLine="480" w:firstLineChars="200"/>
        <w:outlineLvl w:val="1"/>
        <w:rPr>
          <w:rFonts w:hint="eastAsia" w:ascii="Times New Roman" w:hAnsi="Times New Roman" w:cs="Times New Roman" w:eastAsiaTheme="minorEastAsia"/>
          <w:b/>
          <w:sz w:val="24"/>
          <w:lang w:val="en-US" w:eastAsia="zh-CN"/>
        </w:rPr>
      </w:pPr>
      <w:r>
        <w:rPr>
          <w:rFonts w:hint="eastAsia" w:ascii="Times New Roman" w:hAnsi="Times New Roman" w:cs="Times New Roman" w:eastAsiaTheme="minorEastAsia"/>
          <w:b/>
          <w:sz w:val="24"/>
          <w:lang w:val="en-US" w:eastAsia="zh-CN"/>
        </w:rPr>
        <w:t>（二）起草单位</w:t>
      </w:r>
    </w:p>
    <w:p w14:paraId="57528ECE">
      <w:pPr>
        <w:pStyle w:val="47"/>
        <w:spacing w:line="360" w:lineRule="auto"/>
        <w:ind w:firstLine="480"/>
        <w:jc w:val="left"/>
        <w:rPr>
          <w:rFonts w:hint="eastAsia" w:asciiTheme="minorEastAsia" w:hAnsiTheme="minorEastAsia" w:eastAsiaTheme="minorEastAsia"/>
          <w:kern w:val="2"/>
          <w:sz w:val="24"/>
          <w:szCs w:val="24"/>
        </w:rPr>
      </w:pPr>
      <w:r>
        <w:rPr>
          <w:rFonts w:hint="eastAsia" w:eastAsiaTheme="minorEastAsia"/>
          <w:sz w:val="24"/>
        </w:rPr>
        <w:t>本标准起草单位为</w:t>
      </w:r>
      <w:r>
        <w:rPr>
          <w:rFonts w:hint="eastAsia" w:asciiTheme="minorEastAsia" w:hAnsiTheme="minorEastAsia" w:eastAsiaTheme="minorEastAsia"/>
          <w:kern w:val="2"/>
          <w:sz w:val="24"/>
          <w:szCs w:val="24"/>
        </w:rPr>
        <w:t>龙口滨港液体化工码头有限公司</w:t>
      </w:r>
      <w:r>
        <w:rPr>
          <w:rFonts w:hint="eastAsia" w:asciiTheme="minorEastAsia" w:hAnsiTheme="minorEastAsia" w:eastAsiaTheme="minorEastAsia"/>
          <w:kern w:val="2"/>
          <w:sz w:val="24"/>
          <w:szCs w:val="24"/>
          <w:lang w:val="en-US" w:eastAsia="zh-CN"/>
        </w:rPr>
        <w:t>、龙口港集团有限公司、</w:t>
      </w:r>
      <w:r>
        <w:rPr>
          <w:rFonts w:hint="eastAsia" w:asciiTheme="minorEastAsia" w:hAnsiTheme="minorEastAsia" w:eastAsiaTheme="minorEastAsia"/>
          <w:kern w:val="2"/>
          <w:sz w:val="24"/>
          <w:szCs w:val="24"/>
        </w:rPr>
        <w:t>交通运输部水运科学研究院、山东港口烟台港集团有限公司、连云港远洋流体装卸设备有限公司等。</w:t>
      </w:r>
    </w:p>
    <w:p w14:paraId="2983E441">
      <w:pPr>
        <w:spacing w:line="360" w:lineRule="auto"/>
        <w:ind w:firstLine="480" w:firstLineChars="200"/>
        <w:outlineLvl w:val="1"/>
        <w:rPr>
          <w:rFonts w:hint="eastAsia" w:ascii="Times New Roman" w:hAnsi="Times New Roman" w:cs="Times New Roman" w:eastAsiaTheme="minorEastAsia"/>
          <w:b/>
          <w:sz w:val="24"/>
        </w:rPr>
      </w:pPr>
      <w:r>
        <w:rPr>
          <w:rFonts w:hint="eastAsia" w:ascii="Times New Roman" w:hAnsi="Times New Roman" w:cs="Times New Roman" w:eastAsiaTheme="minorEastAsia"/>
          <w:b/>
          <w:sz w:val="24"/>
        </w:rPr>
        <w:t>（三）</w:t>
      </w:r>
      <w:r>
        <w:rPr>
          <w:rFonts w:hint="eastAsia" w:ascii="Times New Roman" w:hAnsi="Times New Roman" w:cs="Times New Roman" w:eastAsiaTheme="minorEastAsia"/>
          <w:b/>
          <w:sz w:val="24"/>
          <w:lang w:val="en-US" w:eastAsia="zh-CN"/>
        </w:rPr>
        <w:t>主要工作</w:t>
      </w:r>
      <w:r>
        <w:rPr>
          <w:rFonts w:hint="eastAsia" w:ascii="Times New Roman" w:hAnsi="Times New Roman" w:cs="Times New Roman" w:eastAsiaTheme="minorEastAsia"/>
          <w:b/>
          <w:sz w:val="24"/>
        </w:rPr>
        <w:t>过程</w:t>
      </w:r>
    </w:p>
    <w:p w14:paraId="4860E157">
      <w:pPr>
        <w:spacing w:line="360" w:lineRule="auto"/>
        <w:ind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起草单位接到计划任务后，立即着手进行标准制定工作，主要工作过程如下：</w:t>
      </w:r>
    </w:p>
    <w:p w14:paraId="6989981E">
      <w:pPr>
        <w:tabs>
          <w:tab w:val="left" w:pos="3220"/>
        </w:tabs>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202</w:t>
      </w:r>
      <w:r>
        <w:rPr>
          <w:rFonts w:hint="eastAsia" w:asciiTheme="minorEastAsia" w:hAnsiTheme="minorEastAsia" w:eastAsiaTheme="minorEastAsia"/>
          <w:sz w:val="24"/>
          <w:lang w:val="en-US" w:eastAsia="zh-CN"/>
        </w:rPr>
        <w:t>4</w:t>
      </w:r>
      <w:r>
        <w:rPr>
          <w:rFonts w:hint="eastAsia" w:asciiTheme="minorEastAsia" w:hAnsiTheme="minorEastAsia" w:eastAsiaTheme="minorEastAsia"/>
          <w:sz w:val="24"/>
        </w:rPr>
        <w:t>年</w:t>
      </w:r>
      <w:r>
        <w:rPr>
          <w:rFonts w:hint="eastAsia" w:asciiTheme="minorEastAsia" w:hAnsiTheme="minorEastAsia" w:eastAsiaTheme="minorEastAsia"/>
          <w:sz w:val="24"/>
          <w:lang w:val="en-US" w:eastAsia="zh-CN"/>
        </w:rPr>
        <w:t>12</w:t>
      </w:r>
      <w:r>
        <w:rPr>
          <w:rFonts w:hint="eastAsia" w:asciiTheme="minorEastAsia" w:hAnsiTheme="minorEastAsia" w:eastAsiaTheme="minorEastAsia"/>
          <w:sz w:val="24"/>
        </w:rPr>
        <w:t>月，正式成立标准编制组，按照要求制定了标准编制计划。标准编制工作正式启动，由</w:t>
      </w:r>
      <w:r>
        <w:rPr>
          <w:rFonts w:hint="eastAsia" w:asciiTheme="minorEastAsia" w:hAnsiTheme="minorEastAsia" w:eastAsiaTheme="minorEastAsia"/>
          <w:kern w:val="2"/>
          <w:sz w:val="24"/>
          <w:szCs w:val="24"/>
        </w:rPr>
        <w:t>龙口滨港液体化工码头有限公司</w:t>
      </w:r>
      <w:r>
        <w:rPr>
          <w:rFonts w:hint="eastAsia" w:asciiTheme="minorEastAsia" w:hAnsiTheme="minorEastAsia" w:eastAsiaTheme="minorEastAsia"/>
          <w:sz w:val="24"/>
        </w:rPr>
        <w:t>牵头，相关单位作为编制组成员加入编制组。</w:t>
      </w:r>
    </w:p>
    <w:p w14:paraId="59F43E6D">
      <w:pPr>
        <w:tabs>
          <w:tab w:val="left" w:pos="3220"/>
        </w:tabs>
        <w:spacing w:line="360" w:lineRule="auto"/>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202</w:t>
      </w:r>
      <w:r>
        <w:rPr>
          <w:rFonts w:hint="eastAsia" w:asciiTheme="minorEastAsia" w:hAnsiTheme="minorEastAsia" w:eastAsiaTheme="minorEastAsia"/>
          <w:sz w:val="24"/>
          <w:lang w:val="en-US" w:eastAsia="zh-CN"/>
        </w:rPr>
        <w:t>5年1</w:t>
      </w:r>
      <w:r>
        <w:rPr>
          <w:rFonts w:hint="eastAsia" w:asciiTheme="minorEastAsia" w:hAnsiTheme="minorEastAsia" w:eastAsiaTheme="minorEastAsia"/>
          <w:sz w:val="24"/>
        </w:rPr>
        <w:t>-</w:t>
      </w:r>
      <w:r>
        <w:rPr>
          <w:rFonts w:hint="eastAsia" w:asciiTheme="minorEastAsia" w:hAnsiTheme="minorEastAsia" w:eastAsiaTheme="minorEastAsia"/>
          <w:sz w:val="24"/>
          <w:lang w:val="en-US" w:eastAsia="zh-CN"/>
        </w:rPr>
        <w:t>3</w:t>
      </w:r>
      <w:r>
        <w:rPr>
          <w:rFonts w:hint="eastAsia" w:asciiTheme="minorEastAsia" w:hAnsiTheme="minorEastAsia" w:eastAsiaTheme="minorEastAsia"/>
          <w:sz w:val="24"/>
        </w:rPr>
        <w:t>月，</w:t>
      </w:r>
      <w:r>
        <w:rPr>
          <w:rFonts w:hint="eastAsia" w:ascii="Times New Roman" w:hAnsi="Times New Roman" w:eastAsia="宋体" w:cs="Times New Roman"/>
          <w:sz w:val="24"/>
          <w:szCs w:val="22"/>
          <w:highlight w:val="none"/>
        </w:rPr>
        <w:t>广泛收集与国内外</w:t>
      </w:r>
      <w:r>
        <w:rPr>
          <w:rFonts w:hint="eastAsia" w:ascii="Times New Roman" w:hAnsi="Times New Roman" w:eastAsia="宋体" w:cs="Times New Roman"/>
          <w:sz w:val="24"/>
          <w:szCs w:val="22"/>
          <w:highlight w:val="none"/>
          <w:lang w:eastAsia="zh-CN"/>
        </w:rPr>
        <w:t>液体散货码头装卸臂</w:t>
      </w:r>
      <w:r>
        <w:rPr>
          <w:rFonts w:hint="eastAsia" w:ascii="Times New Roman" w:hAnsi="Times New Roman" w:eastAsia="宋体" w:cs="Times New Roman"/>
          <w:sz w:val="24"/>
          <w:szCs w:val="22"/>
          <w:highlight w:val="none"/>
        </w:rPr>
        <w:t>标准相关的政策法规、标准规范及有关技术资料，提出标准编制的原则、主要依据及方法</w:t>
      </w:r>
      <w:r>
        <w:rPr>
          <w:rFonts w:hint="eastAsia" w:ascii="Times New Roman" w:hAnsi="Times New Roman" w:eastAsia="宋体" w:cs="Times New Roman"/>
          <w:sz w:val="24"/>
          <w:szCs w:val="22"/>
          <w:highlight w:val="none"/>
          <w:lang w:eastAsia="zh-CN"/>
        </w:rPr>
        <w:t>，</w:t>
      </w:r>
      <w:r>
        <w:rPr>
          <w:rFonts w:hint="eastAsia" w:ascii="Times New Roman" w:hAnsi="Times New Roman" w:eastAsia="宋体" w:cs="Times New Roman"/>
          <w:sz w:val="24"/>
          <w:szCs w:val="22"/>
          <w:highlight w:val="none"/>
          <w:lang w:val="en-US" w:eastAsia="zh-CN"/>
        </w:rPr>
        <w:t>编制标准工作大纲与标准草案初稿</w:t>
      </w:r>
      <w:r>
        <w:rPr>
          <w:rFonts w:hint="eastAsia" w:asciiTheme="minorEastAsia" w:hAnsiTheme="minorEastAsia" w:eastAsiaTheme="minorEastAsia"/>
          <w:sz w:val="24"/>
        </w:rPr>
        <w:t>。</w:t>
      </w:r>
    </w:p>
    <w:p w14:paraId="6D02ACB0">
      <w:pPr>
        <w:tabs>
          <w:tab w:val="left" w:pos="3220"/>
        </w:tabs>
        <w:spacing w:line="360" w:lineRule="auto"/>
        <w:ind w:firstLine="480" w:firstLineChars="200"/>
        <w:rPr>
          <w:rFonts w:hint="default" w:asciiTheme="minorEastAsia" w:hAnsiTheme="minorEastAsia" w:eastAsiaTheme="minorEastAsia"/>
          <w:sz w:val="24"/>
          <w:lang w:val="en-US" w:eastAsia="zh-CN"/>
        </w:rPr>
      </w:pPr>
      <w:r>
        <w:rPr>
          <w:rFonts w:hint="eastAsia" w:asciiTheme="minorEastAsia" w:hAnsiTheme="minorEastAsia" w:eastAsiaTheme="minorEastAsia"/>
          <w:sz w:val="24"/>
          <w:lang w:val="en-US" w:eastAsia="zh-CN"/>
        </w:rPr>
        <w:t>2025年4月，组织召开了研究大纲评审会，通过大纲评审，明确了标准编制的技术路线、标准框架结构。</w:t>
      </w:r>
    </w:p>
    <w:p w14:paraId="54FF4406">
      <w:pPr>
        <w:spacing w:line="360" w:lineRule="auto"/>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202</w:t>
      </w:r>
      <w:r>
        <w:rPr>
          <w:rFonts w:hint="eastAsia" w:asciiTheme="minorEastAsia" w:hAnsiTheme="minorEastAsia" w:eastAsiaTheme="minorEastAsia"/>
          <w:sz w:val="24"/>
          <w:lang w:val="en-US" w:eastAsia="zh-CN"/>
        </w:rPr>
        <w:t>5</w:t>
      </w:r>
      <w:r>
        <w:rPr>
          <w:rFonts w:hint="eastAsia" w:asciiTheme="minorEastAsia" w:hAnsiTheme="minorEastAsia" w:eastAsiaTheme="minorEastAsia"/>
          <w:sz w:val="24"/>
        </w:rPr>
        <w:t>年</w:t>
      </w:r>
      <w:r>
        <w:rPr>
          <w:rFonts w:hint="eastAsia" w:asciiTheme="minorEastAsia" w:hAnsiTheme="minorEastAsia" w:eastAsiaTheme="minorEastAsia"/>
          <w:sz w:val="24"/>
          <w:lang w:val="en-US" w:eastAsia="zh-CN"/>
        </w:rPr>
        <w:t>5-6</w:t>
      </w:r>
      <w:r>
        <w:rPr>
          <w:rFonts w:hint="eastAsia" w:asciiTheme="minorEastAsia" w:hAnsiTheme="minorEastAsia" w:eastAsiaTheme="minorEastAsia"/>
          <w:sz w:val="24"/>
        </w:rPr>
        <w:t>月，通过走访调研、学术研讨、实地考察、文献综述等方式对液体散货码头装卸臂保养现状和存在的问题进行分析，重点归纳液体散货码头装卸臂保养技术要求与关键指标，研究编制形成《液体散货码头装卸臂保养技术要求》标准草案。</w:t>
      </w:r>
    </w:p>
    <w:p w14:paraId="14E0C910">
      <w:pPr>
        <w:tabs>
          <w:tab w:val="left" w:pos="3220"/>
        </w:tabs>
        <w:spacing w:line="360" w:lineRule="auto"/>
        <w:ind w:firstLine="480" w:firstLineChars="200"/>
        <w:rPr>
          <w:rFonts w:hint="eastAsia" w:asciiTheme="minorEastAsia" w:hAnsiTheme="minorEastAsia" w:eastAsiaTheme="minorEastAsia"/>
          <w:sz w:val="24"/>
          <w:lang w:val="en-US" w:eastAsia="zh-CN"/>
        </w:rPr>
      </w:pPr>
      <w:r>
        <w:rPr>
          <w:rFonts w:hint="eastAsia" w:asciiTheme="minorEastAsia" w:hAnsiTheme="minorEastAsia" w:eastAsiaTheme="minorEastAsia"/>
          <w:sz w:val="24"/>
        </w:rPr>
        <w:t>202</w:t>
      </w:r>
      <w:r>
        <w:rPr>
          <w:rFonts w:hint="eastAsia" w:asciiTheme="minorEastAsia" w:hAnsiTheme="minorEastAsia" w:eastAsiaTheme="minorEastAsia"/>
          <w:sz w:val="24"/>
          <w:lang w:val="en-US" w:eastAsia="zh-CN"/>
        </w:rPr>
        <w:t>5</w:t>
      </w:r>
      <w:r>
        <w:rPr>
          <w:rFonts w:hint="eastAsia" w:asciiTheme="minorEastAsia" w:hAnsiTheme="minorEastAsia" w:eastAsiaTheme="minorEastAsia"/>
          <w:sz w:val="24"/>
        </w:rPr>
        <w:t>年</w:t>
      </w:r>
      <w:r>
        <w:rPr>
          <w:rFonts w:hint="eastAsia" w:asciiTheme="minorEastAsia" w:hAnsiTheme="minorEastAsia" w:eastAsiaTheme="minorEastAsia"/>
          <w:sz w:val="24"/>
          <w:lang w:val="en-US" w:eastAsia="zh-CN"/>
        </w:rPr>
        <w:t>7</w:t>
      </w:r>
      <w:r>
        <w:rPr>
          <w:rFonts w:hint="eastAsia" w:asciiTheme="minorEastAsia" w:hAnsiTheme="minorEastAsia" w:eastAsiaTheme="minorEastAsia"/>
          <w:sz w:val="24"/>
        </w:rPr>
        <w:t>-</w:t>
      </w:r>
      <w:r>
        <w:rPr>
          <w:rFonts w:hint="eastAsia" w:asciiTheme="minorEastAsia" w:hAnsiTheme="minorEastAsia" w:eastAsiaTheme="minorEastAsia"/>
          <w:sz w:val="24"/>
          <w:lang w:val="en-US" w:eastAsia="zh-CN"/>
        </w:rPr>
        <w:t>8</w:t>
      </w:r>
      <w:r>
        <w:rPr>
          <w:rFonts w:hint="eastAsia" w:asciiTheme="minorEastAsia" w:hAnsiTheme="minorEastAsia" w:eastAsiaTheme="minorEastAsia"/>
          <w:sz w:val="24"/>
        </w:rPr>
        <w:t>月，</w:t>
      </w:r>
      <w:r>
        <w:rPr>
          <w:rFonts w:hint="eastAsia" w:ascii="Times New Roman" w:hAnsi="Times New Roman" w:eastAsia="宋体" w:cs="Times New Roman"/>
          <w:kern w:val="2"/>
          <w:sz w:val="24"/>
          <w:szCs w:val="22"/>
        </w:rPr>
        <w:t>召开编写组内部研讨会</w:t>
      </w:r>
      <w:r>
        <w:rPr>
          <w:rFonts w:hint="eastAsia" w:ascii="Times New Roman" w:hAnsi="Times New Roman" w:eastAsia="宋体" w:cs="Times New Roman"/>
          <w:kern w:val="2"/>
          <w:sz w:val="24"/>
          <w:szCs w:val="22"/>
          <w:lang w:eastAsia="zh-CN"/>
        </w:rPr>
        <w:t>，</w:t>
      </w:r>
      <w:r>
        <w:rPr>
          <w:rFonts w:hint="eastAsia" w:ascii="Times New Roman" w:hAnsi="Times New Roman" w:eastAsia="宋体" w:cs="Times New Roman"/>
          <w:kern w:val="2"/>
          <w:sz w:val="24"/>
          <w:szCs w:val="22"/>
          <w:lang w:val="en-US" w:eastAsia="zh-CN"/>
        </w:rPr>
        <w:t>结合</w:t>
      </w:r>
      <w:r>
        <w:rPr>
          <w:rFonts w:hint="eastAsia" w:ascii="Times New Roman" w:hAnsi="Times New Roman" w:eastAsia="宋体" w:cs="Times New Roman"/>
          <w:sz w:val="24"/>
          <w:szCs w:val="22"/>
          <w:highlight w:val="none"/>
        </w:rPr>
        <w:t>实地调研及发函的方式，向专家征求意见和建议，形成</w:t>
      </w:r>
      <w:r>
        <w:rPr>
          <w:rFonts w:hint="eastAsia" w:ascii="Times New Roman" w:hAnsi="Times New Roman" w:eastAsia="宋体" w:cs="Times New Roman"/>
          <w:sz w:val="24"/>
          <w:szCs w:val="22"/>
          <w:highlight w:val="none"/>
          <w:lang w:val="en-US" w:eastAsia="zh-CN"/>
        </w:rPr>
        <w:t>《液体散货码头装卸臂保养技术要求》</w:t>
      </w:r>
      <w:r>
        <w:rPr>
          <w:rFonts w:hint="eastAsia" w:ascii="Times New Roman" w:hAnsi="Times New Roman" w:eastAsia="宋体" w:cs="Times New Roman"/>
          <w:sz w:val="24"/>
          <w:szCs w:val="22"/>
          <w:highlight w:val="none"/>
        </w:rPr>
        <w:t>标准征求意见稿及编制说明。</w:t>
      </w:r>
    </w:p>
    <w:p w14:paraId="544B3DE6">
      <w:pPr>
        <w:spacing w:line="360" w:lineRule="auto"/>
        <w:ind w:firstLine="480" w:firstLineChars="200"/>
        <w:outlineLvl w:val="1"/>
        <w:rPr>
          <w:rFonts w:hint="eastAsia" w:ascii="Times New Roman" w:hAnsi="Times New Roman" w:cs="Times New Roman" w:eastAsiaTheme="minorEastAsia"/>
          <w:b/>
          <w:sz w:val="24"/>
        </w:rPr>
      </w:pPr>
      <w:r>
        <w:rPr>
          <w:rFonts w:hint="eastAsia" w:ascii="Times New Roman" w:hAnsi="Times New Roman" w:cs="Times New Roman" w:eastAsiaTheme="minorEastAsia"/>
          <w:b/>
          <w:sz w:val="24"/>
        </w:rPr>
        <w:t>（</w:t>
      </w:r>
      <w:r>
        <w:rPr>
          <w:rFonts w:hint="eastAsia" w:ascii="Times New Roman" w:hAnsi="Times New Roman" w:cs="Times New Roman" w:eastAsiaTheme="minorEastAsia"/>
          <w:b/>
          <w:sz w:val="24"/>
          <w:lang w:val="en-US" w:eastAsia="zh-CN"/>
        </w:rPr>
        <w:t>四</w:t>
      </w:r>
      <w:r>
        <w:rPr>
          <w:rFonts w:hint="eastAsia" w:ascii="Times New Roman" w:hAnsi="Times New Roman" w:cs="Times New Roman" w:eastAsiaTheme="minorEastAsia"/>
          <w:b/>
          <w:sz w:val="24"/>
        </w:rPr>
        <w:t>）主要起草人及其所做的工作</w:t>
      </w:r>
    </w:p>
    <w:p w14:paraId="09AAD1D9">
      <w:pPr>
        <w:tabs>
          <w:tab w:val="left" w:pos="3220"/>
        </w:tabs>
        <w:spacing w:line="360" w:lineRule="auto"/>
        <w:ind w:firstLine="480" w:firstLineChars="200"/>
        <w:rPr>
          <w:rFonts w:hint="eastAsia" w:eastAsiaTheme="minorEastAsia"/>
          <w:sz w:val="24"/>
          <w:lang w:val="en-US" w:eastAsia="zh-CN"/>
        </w:rPr>
      </w:pPr>
      <w:r>
        <w:rPr>
          <w:rFonts w:hint="eastAsia" w:eastAsiaTheme="minorEastAsia"/>
          <w:sz w:val="24"/>
        </w:rPr>
        <w:t>本标准主要起草人</w:t>
      </w:r>
      <w:r>
        <w:rPr>
          <w:rFonts w:hint="eastAsia" w:eastAsiaTheme="minorEastAsia"/>
          <w:sz w:val="24"/>
          <w:lang w:val="en-US" w:eastAsia="zh-CN"/>
        </w:rPr>
        <w:t>为：薛宝龙、张方田、姜涛、赵得强、李继春、张少强、王为周、郭峰、刘宗鹭、王健、张利、李京、胡笳、赵洁婷、刘相超、尹德朋、吕传龙。</w:t>
      </w:r>
      <w:bookmarkStart w:id="47" w:name="_GoBack"/>
      <w:bookmarkEnd w:id="47"/>
    </w:p>
    <w:p w14:paraId="4DEAE89C">
      <w:pPr>
        <w:tabs>
          <w:tab w:val="left" w:pos="3220"/>
        </w:tabs>
        <w:spacing w:line="360" w:lineRule="auto"/>
        <w:ind w:firstLine="480" w:firstLineChars="200"/>
        <w:rPr>
          <w:rFonts w:eastAsiaTheme="minorEastAsia"/>
          <w:sz w:val="24"/>
        </w:rPr>
      </w:pPr>
      <w:r>
        <w:rPr>
          <w:rFonts w:hint="eastAsia" w:eastAsiaTheme="minorEastAsia"/>
          <w:sz w:val="24"/>
        </w:rPr>
        <w:t>起草人任务分工见表1。</w:t>
      </w:r>
    </w:p>
    <w:p w14:paraId="0B87EFDE">
      <w:pPr>
        <w:tabs>
          <w:tab w:val="left" w:pos="3220"/>
        </w:tabs>
        <w:spacing w:line="360" w:lineRule="auto"/>
        <w:ind w:left="0" w:leftChars="0" w:firstLine="0" w:firstLineChars="0"/>
        <w:jc w:val="center"/>
        <w:rPr>
          <w:rFonts w:eastAsia="黑体"/>
          <w:sz w:val="24"/>
          <w:szCs w:val="28"/>
        </w:rPr>
      </w:pPr>
      <w:r>
        <w:rPr>
          <w:rFonts w:hint="eastAsia" w:eastAsia="黑体"/>
          <w:sz w:val="24"/>
          <w:szCs w:val="28"/>
        </w:rPr>
        <w:t>表1</w:t>
      </w:r>
      <w:r>
        <w:rPr>
          <w:rFonts w:eastAsia="黑体"/>
          <w:sz w:val="24"/>
          <w:szCs w:val="28"/>
        </w:rPr>
        <w:t xml:space="preserve"> </w:t>
      </w:r>
      <w:r>
        <w:rPr>
          <w:rFonts w:hint="eastAsia" w:eastAsia="黑体"/>
          <w:sz w:val="24"/>
          <w:szCs w:val="28"/>
        </w:rPr>
        <w:t>主要起草人所承担的工作</w:t>
      </w:r>
    </w:p>
    <w:tbl>
      <w:tblPr>
        <w:tblStyle w:val="16"/>
        <w:tblW w:w="8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5"/>
        <w:gridCol w:w="2023"/>
        <w:gridCol w:w="1288"/>
        <w:gridCol w:w="4016"/>
      </w:tblGrid>
      <w:tr w14:paraId="42AD9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035" w:type="dxa"/>
            <w:shd w:val="clear" w:color="auto" w:fill="auto"/>
            <w:vAlign w:val="center"/>
          </w:tcPr>
          <w:p w14:paraId="3EC54D81">
            <w:pPr>
              <w:pStyle w:val="29"/>
              <w:keepNext w:val="0"/>
              <w:keepLines w:val="0"/>
              <w:widowControl w:val="0"/>
              <w:suppressLineNumbers w:val="0"/>
              <w:spacing w:before="0" w:beforeAutospacing="0" w:after="0" w:afterAutospacing="0" w:line="360" w:lineRule="auto"/>
              <w:ind w:left="0" w:right="0" w:firstLine="0" w:firstLineChars="0"/>
              <w:jc w:val="center"/>
              <w:rPr>
                <w:rFonts w:hint="default" w:hAnsi="宋体"/>
                <w:szCs w:val="21"/>
              </w:rPr>
            </w:pPr>
            <w:r>
              <w:rPr>
                <w:rFonts w:hint="eastAsia" w:hAnsi="宋体"/>
                <w:szCs w:val="21"/>
              </w:rPr>
              <w:t>姓名</w:t>
            </w:r>
          </w:p>
        </w:tc>
        <w:tc>
          <w:tcPr>
            <w:tcW w:w="2023" w:type="dxa"/>
            <w:shd w:val="clear" w:color="auto" w:fill="auto"/>
            <w:vAlign w:val="center"/>
          </w:tcPr>
          <w:p w14:paraId="2BE810E1">
            <w:pPr>
              <w:pStyle w:val="29"/>
              <w:keepNext w:val="0"/>
              <w:keepLines w:val="0"/>
              <w:widowControl w:val="0"/>
              <w:suppressLineNumbers w:val="0"/>
              <w:spacing w:before="0" w:beforeAutospacing="0" w:after="0" w:afterAutospacing="0" w:line="360" w:lineRule="auto"/>
              <w:ind w:left="0" w:right="0" w:firstLine="0" w:firstLineChars="0"/>
              <w:jc w:val="center"/>
              <w:rPr>
                <w:rFonts w:hint="default" w:hAnsi="宋体"/>
                <w:szCs w:val="21"/>
              </w:rPr>
            </w:pPr>
            <w:r>
              <w:rPr>
                <w:rFonts w:hint="eastAsia" w:hAnsi="宋体"/>
                <w:szCs w:val="21"/>
              </w:rPr>
              <w:t>单位</w:t>
            </w:r>
          </w:p>
        </w:tc>
        <w:tc>
          <w:tcPr>
            <w:tcW w:w="1288" w:type="dxa"/>
            <w:shd w:val="clear" w:color="auto" w:fill="auto"/>
            <w:vAlign w:val="center"/>
          </w:tcPr>
          <w:p w14:paraId="07D981DA">
            <w:pPr>
              <w:pStyle w:val="29"/>
              <w:keepNext w:val="0"/>
              <w:keepLines w:val="0"/>
              <w:widowControl w:val="0"/>
              <w:suppressLineNumbers w:val="0"/>
              <w:spacing w:before="0" w:beforeAutospacing="0" w:after="0" w:afterAutospacing="0" w:line="360" w:lineRule="auto"/>
              <w:ind w:left="0" w:right="0" w:firstLine="0" w:firstLineChars="0"/>
              <w:jc w:val="center"/>
              <w:rPr>
                <w:rFonts w:hint="default" w:hAnsi="宋体"/>
                <w:szCs w:val="21"/>
                <w:lang w:val="en-US"/>
              </w:rPr>
            </w:pPr>
            <w:r>
              <w:rPr>
                <w:rFonts w:hint="eastAsia" w:ascii="宋体" w:hAnsi="宋体" w:eastAsia="宋体" w:cs="Times New Roman"/>
                <w:szCs w:val="21"/>
                <w:lang w:val="en-US" w:eastAsia="zh-CN"/>
              </w:rPr>
              <w:t>职称/职务</w:t>
            </w:r>
          </w:p>
        </w:tc>
        <w:tc>
          <w:tcPr>
            <w:tcW w:w="4016" w:type="dxa"/>
            <w:shd w:val="clear" w:color="auto" w:fill="auto"/>
            <w:vAlign w:val="center"/>
          </w:tcPr>
          <w:p w14:paraId="4B439276">
            <w:pPr>
              <w:pStyle w:val="29"/>
              <w:keepNext w:val="0"/>
              <w:keepLines w:val="0"/>
              <w:widowControl w:val="0"/>
              <w:suppressLineNumbers w:val="0"/>
              <w:spacing w:before="0" w:beforeAutospacing="0" w:after="0" w:afterAutospacing="0" w:line="360" w:lineRule="auto"/>
              <w:ind w:left="0" w:right="0" w:firstLine="0" w:firstLineChars="0"/>
              <w:jc w:val="center"/>
              <w:rPr>
                <w:rFonts w:hint="default" w:hAnsi="宋体"/>
                <w:szCs w:val="21"/>
              </w:rPr>
            </w:pPr>
            <w:r>
              <w:rPr>
                <w:rFonts w:hint="eastAsia" w:hAnsi="宋体"/>
                <w:szCs w:val="21"/>
              </w:rPr>
              <w:t>承担的工作</w:t>
            </w:r>
          </w:p>
        </w:tc>
      </w:tr>
      <w:tr w14:paraId="07299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5" w:type="dxa"/>
            <w:shd w:val="clear" w:color="auto" w:fill="auto"/>
            <w:vAlign w:val="center"/>
          </w:tcPr>
          <w:p w14:paraId="539E47F1">
            <w:pPr>
              <w:pStyle w:val="29"/>
              <w:keepNext w:val="0"/>
              <w:keepLines w:val="0"/>
              <w:widowControl w:val="0"/>
              <w:suppressLineNumbers w:val="0"/>
              <w:spacing w:before="0" w:beforeAutospacing="0" w:after="0" w:afterAutospacing="0"/>
              <w:ind w:left="0" w:right="0" w:firstLine="0" w:firstLineChars="0"/>
              <w:jc w:val="center"/>
              <w:rPr>
                <w:rFonts w:hint="default" w:ascii="宋体" w:hAnsi="宋体" w:eastAsia="宋体" w:cs="Times New Roman"/>
                <w:szCs w:val="21"/>
                <w:highlight w:val="none"/>
              </w:rPr>
            </w:pPr>
            <w:r>
              <w:rPr>
                <w:rFonts w:hint="eastAsia" w:ascii="宋体" w:hAnsi="宋体" w:eastAsia="宋体" w:cs="Times New Roman"/>
                <w:szCs w:val="21"/>
                <w:highlight w:val="none"/>
              </w:rPr>
              <w:t>薛宝龙</w:t>
            </w:r>
          </w:p>
        </w:tc>
        <w:tc>
          <w:tcPr>
            <w:tcW w:w="2023" w:type="dxa"/>
            <w:shd w:val="clear" w:color="auto" w:fill="auto"/>
            <w:vAlign w:val="center"/>
          </w:tcPr>
          <w:p w14:paraId="264A65C0">
            <w:pPr>
              <w:pStyle w:val="29"/>
              <w:keepNext w:val="0"/>
              <w:keepLines w:val="0"/>
              <w:widowControl w:val="0"/>
              <w:suppressLineNumbers w:val="0"/>
              <w:spacing w:before="0" w:beforeAutospacing="0" w:after="0" w:afterAutospacing="0"/>
              <w:ind w:left="0" w:right="0" w:firstLine="0" w:firstLineChars="0"/>
              <w:jc w:val="center"/>
              <w:rPr>
                <w:rFonts w:hint="default" w:ascii="宋体" w:hAnsi="宋体" w:eastAsia="宋体" w:cs="Times New Roman"/>
                <w:szCs w:val="21"/>
                <w:highlight w:val="none"/>
              </w:rPr>
            </w:pPr>
            <w:r>
              <w:rPr>
                <w:rFonts w:hint="eastAsia" w:ascii="宋体" w:hAnsi="宋体" w:eastAsia="宋体" w:cs="Times New Roman"/>
                <w:szCs w:val="21"/>
                <w:highlight w:val="none"/>
              </w:rPr>
              <w:t>烟台港集团有限公司</w:t>
            </w:r>
          </w:p>
        </w:tc>
        <w:tc>
          <w:tcPr>
            <w:tcW w:w="1288" w:type="dxa"/>
            <w:shd w:val="clear" w:color="auto" w:fill="auto"/>
            <w:vAlign w:val="center"/>
          </w:tcPr>
          <w:p w14:paraId="086C1319">
            <w:pPr>
              <w:pStyle w:val="29"/>
              <w:keepNext w:val="0"/>
              <w:keepLines w:val="0"/>
              <w:widowControl w:val="0"/>
              <w:suppressLineNumbers w:val="0"/>
              <w:spacing w:before="0" w:beforeAutospacing="0" w:after="0" w:afterAutospacing="0"/>
              <w:ind w:left="0" w:right="0" w:firstLine="0" w:firstLineChars="0"/>
              <w:jc w:val="center"/>
              <w:rPr>
                <w:rFonts w:hint="default" w:ascii="宋体" w:hAnsi="宋体" w:eastAsia="宋体" w:cs="Times New Roman"/>
                <w:szCs w:val="21"/>
                <w:highlight w:val="none"/>
              </w:rPr>
            </w:pPr>
            <w:r>
              <w:rPr>
                <w:rFonts w:hint="eastAsia" w:ascii="宋体" w:hAnsi="宋体" w:eastAsia="宋体" w:cs="Times New Roman"/>
                <w:szCs w:val="21"/>
                <w:highlight w:val="none"/>
              </w:rPr>
              <w:t>高工/副总经理</w:t>
            </w:r>
          </w:p>
        </w:tc>
        <w:tc>
          <w:tcPr>
            <w:tcW w:w="4016" w:type="dxa"/>
            <w:shd w:val="clear" w:color="auto" w:fill="auto"/>
            <w:vAlign w:val="center"/>
          </w:tcPr>
          <w:p w14:paraId="1F5D3673">
            <w:pPr>
              <w:pStyle w:val="29"/>
              <w:keepNext w:val="0"/>
              <w:keepLines w:val="0"/>
              <w:widowControl w:val="0"/>
              <w:suppressLineNumbers w:val="0"/>
              <w:spacing w:before="0" w:beforeAutospacing="0" w:after="0" w:afterAutospacing="0"/>
              <w:ind w:left="0" w:leftChars="0" w:right="0" w:rightChars="0" w:firstLine="0" w:firstLineChars="0"/>
              <w:rPr>
                <w:rFonts w:hint="default" w:ascii="宋体" w:hAnsi="宋体" w:eastAsia="宋体" w:cs="Times New Roman"/>
                <w:sz w:val="21"/>
                <w:szCs w:val="21"/>
                <w:highlight w:val="none"/>
                <w:lang w:val="en-US" w:eastAsia="zh-CN" w:bidi="ar-SA"/>
              </w:rPr>
            </w:pPr>
            <w:r>
              <w:rPr>
                <w:rFonts w:hint="eastAsia" w:ascii="宋体" w:hAnsi="宋体" w:eastAsia="宋体" w:cs="Times New Roman"/>
                <w:szCs w:val="21"/>
                <w:highlight w:val="none"/>
              </w:rPr>
              <w:t>主持</w:t>
            </w:r>
            <w:r>
              <w:rPr>
                <w:rFonts w:hint="default" w:ascii="宋体" w:hAnsi="宋体" w:eastAsia="宋体" w:cs="Times New Roman"/>
                <w:szCs w:val="21"/>
                <w:highlight w:val="none"/>
              </w:rPr>
              <w:t>标准的编写工作，</w:t>
            </w:r>
            <w:r>
              <w:rPr>
                <w:rFonts w:hint="eastAsia" w:ascii="宋体" w:hAnsi="宋体" w:eastAsia="宋体" w:cs="Times New Roman"/>
                <w:szCs w:val="21"/>
                <w:highlight w:val="none"/>
              </w:rPr>
              <w:t>负责组织和协调，整体把握标准编写</w:t>
            </w:r>
            <w:r>
              <w:rPr>
                <w:rFonts w:hint="default" w:ascii="宋体" w:hAnsi="宋体" w:eastAsia="宋体" w:cs="Times New Roman"/>
                <w:szCs w:val="21"/>
                <w:highlight w:val="none"/>
              </w:rPr>
              <w:t>进度</w:t>
            </w:r>
            <w:r>
              <w:rPr>
                <w:rFonts w:hint="eastAsia" w:ascii="宋体" w:hAnsi="宋体" w:eastAsia="宋体" w:cs="Times New Roman"/>
                <w:szCs w:val="21"/>
                <w:highlight w:val="none"/>
              </w:rPr>
              <w:t>，负责标准编制大纲的制定，负责标准</w:t>
            </w:r>
            <w:r>
              <w:rPr>
                <w:rFonts w:hint="default" w:ascii="宋体" w:hAnsi="宋体" w:eastAsia="宋体" w:cs="Times New Roman"/>
                <w:szCs w:val="21"/>
                <w:highlight w:val="none"/>
              </w:rPr>
              <w:t>的内部审核</w:t>
            </w:r>
            <w:r>
              <w:rPr>
                <w:rFonts w:hint="eastAsia" w:ascii="宋体" w:hAnsi="宋体" w:eastAsia="宋体" w:cs="Times New Roman"/>
                <w:szCs w:val="21"/>
                <w:highlight w:val="none"/>
              </w:rPr>
              <w:t>。</w:t>
            </w:r>
          </w:p>
        </w:tc>
      </w:tr>
      <w:tr w14:paraId="348AC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5" w:type="dxa"/>
            <w:shd w:val="clear" w:color="auto" w:fill="auto"/>
            <w:vAlign w:val="center"/>
          </w:tcPr>
          <w:p w14:paraId="49BA33D7">
            <w:pPr>
              <w:pStyle w:val="29"/>
              <w:keepNext w:val="0"/>
              <w:keepLines w:val="0"/>
              <w:widowControl w:val="0"/>
              <w:suppressLineNumbers w:val="0"/>
              <w:spacing w:before="0" w:beforeAutospacing="0" w:after="0" w:afterAutospacing="0"/>
              <w:ind w:left="0" w:right="0" w:firstLine="0" w:firstLineChars="0"/>
              <w:jc w:val="center"/>
              <w:rPr>
                <w:rFonts w:hint="default" w:ascii="宋体" w:hAnsi="宋体" w:eastAsia="宋体" w:cs="Times New Roman"/>
                <w:szCs w:val="21"/>
              </w:rPr>
            </w:pPr>
            <w:r>
              <w:rPr>
                <w:rFonts w:hint="eastAsia" w:ascii="宋体" w:hAnsi="宋体" w:eastAsia="宋体" w:cs="Times New Roman"/>
                <w:szCs w:val="21"/>
              </w:rPr>
              <w:t>张方田</w:t>
            </w:r>
          </w:p>
        </w:tc>
        <w:tc>
          <w:tcPr>
            <w:tcW w:w="2023" w:type="dxa"/>
            <w:shd w:val="clear" w:color="auto" w:fill="auto"/>
            <w:vAlign w:val="center"/>
          </w:tcPr>
          <w:p w14:paraId="5A324799">
            <w:pPr>
              <w:pStyle w:val="29"/>
              <w:keepNext w:val="0"/>
              <w:keepLines w:val="0"/>
              <w:widowControl w:val="0"/>
              <w:suppressLineNumbers w:val="0"/>
              <w:spacing w:before="0" w:beforeAutospacing="0" w:after="0" w:afterAutospacing="0"/>
              <w:ind w:left="0" w:right="0" w:firstLine="0" w:firstLineChars="0"/>
              <w:jc w:val="center"/>
              <w:rPr>
                <w:rFonts w:hint="default" w:ascii="宋体" w:hAnsi="宋体" w:eastAsia="宋体" w:cs="Times New Roman"/>
                <w:szCs w:val="21"/>
              </w:rPr>
            </w:pPr>
            <w:r>
              <w:rPr>
                <w:rFonts w:hint="eastAsia" w:ascii="宋体" w:hAnsi="宋体" w:eastAsia="宋体" w:cs="Times New Roman"/>
                <w:szCs w:val="21"/>
              </w:rPr>
              <w:t>龙口港集团有限公司</w:t>
            </w:r>
          </w:p>
        </w:tc>
        <w:tc>
          <w:tcPr>
            <w:tcW w:w="1288" w:type="dxa"/>
            <w:shd w:val="clear" w:color="auto" w:fill="auto"/>
            <w:vAlign w:val="center"/>
          </w:tcPr>
          <w:p w14:paraId="1CF97EA0">
            <w:pPr>
              <w:pStyle w:val="29"/>
              <w:keepNext w:val="0"/>
              <w:keepLines w:val="0"/>
              <w:widowControl w:val="0"/>
              <w:suppressLineNumbers w:val="0"/>
              <w:spacing w:before="0" w:beforeAutospacing="0" w:after="0" w:afterAutospacing="0"/>
              <w:ind w:left="0" w:right="0" w:firstLine="0" w:firstLineChars="0"/>
              <w:jc w:val="center"/>
              <w:rPr>
                <w:rFonts w:hint="default" w:ascii="宋体" w:hAnsi="宋体" w:eastAsia="宋体" w:cs="Times New Roman"/>
                <w:szCs w:val="21"/>
              </w:rPr>
            </w:pPr>
            <w:r>
              <w:rPr>
                <w:rFonts w:hint="eastAsia" w:ascii="宋体" w:hAnsi="宋体" w:eastAsia="宋体" w:cs="Times New Roman"/>
                <w:szCs w:val="21"/>
              </w:rPr>
              <w:t>工程师/董事长</w:t>
            </w:r>
          </w:p>
        </w:tc>
        <w:tc>
          <w:tcPr>
            <w:tcW w:w="4016" w:type="dxa"/>
            <w:shd w:val="clear" w:color="auto" w:fill="auto"/>
            <w:vAlign w:val="center"/>
          </w:tcPr>
          <w:p w14:paraId="1C326AE5">
            <w:pPr>
              <w:pStyle w:val="29"/>
              <w:keepNext w:val="0"/>
              <w:keepLines w:val="0"/>
              <w:widowControl w:val="0"/>
              <w:suppressLineNumbers w:val="0"/>
              <w:spacing w:before="0" w:beforeAutospacing="0" w:after="0" w:afterAutospacing="0"/>
              <w:ind w:left="0" w:leftChars="0" w:right="0" w:rightChars="0" w:firstLine="0" w:firstLineChars="0"/>
              <w:rPr>
                <w:rFonts w:hint="default" w:ascii="宋体" w:hAnsi="宋体" w:eastAsia="宋体" w:cs="Times New Roman"/>
                <w:sz w:val="21"/>
                <w:szCs w:val="21"/>
                <w:lang w:val="en-US" w:eastAsia="zh-CN" w:bidi="ar-SA"/>
              </w:rPr>
            </w:pPr>
            <w:r>
              <w:rPr>
                <w:rFonts w:hint="eastAsia" w:ascii="宋体" w:hAnsi="宋体" w:eastAsia="宋体" w:cs="Times New Roman"/>
                <w:szCs w:val="21"/>
              </w:rPr>
              <w:t>负责建立标准编写</w:t>
            </w:r>
            <w:r>
              <w:rPr>
                <w:rFonts w:hint="default" w:ascii="宋体" w:hAnsi="宋体" w:eastAsia="宋体" w:cs="Times New Roman"/>
                <w:szCs w:val="21"/>
              </w:rPr>
              <w:t>框架</w:t>
            </w:r>
            <w:r>
              <w:rPr>
                <w:rFonts w:hint="eastAsia" w:ascii="宋体" w:hAnsi="宋体" w:eastAsia="宋体" w:cs="Times New Roman"/>
                <w:szCs w:val="21"/>
              </w:rPr>
              <w:t>，负责标准编制大纲的制定，</w:t>
            </w:r>
            <w:r>
              <w:rPr>
                <w:rFonts w:hint="default" w:ascii="宋体" w:hAnsi="宋体" w:eastAsia="宋体" w:cs="Times New Roman"/>
                <w:szCs w:val="21"/>
              </w:rPr>
              <w:t>负责标准的</w:t>
            </w:r>
            <w:r>
              <w:rPr>
                <w:rFonts w:hint="eastAsia" w:ascii="宋体" w:hAnsi="宋体" w:eastAsia="宋体" w:cs="Times New Roman"/>
                <w:szCs w:val="21"/>
              </w:rPr>
              <w:t>整体</w:t>
            </w:r>
            <w:r>
              <w:rPr>
                <w:rFonts w:hint="default" w:ascii="宋体" w:hAnsi="宋体" w:eastAsia="宋体" w:cs="Times New Roman"/>
                <w:szCs w:val="21"/>
              </w:rPr>
              <w:t>编写。</w:t>
            </w:r>
          </w:p>
        </w:tc>
      </w:tr>
      <w:tr w14:paraId="454EB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5" w:type="dxa"/>
            <w:shd w:val="clear" w:color="auto" w:fill="auto"/>
            <w:vAlign w:val="center"/>
          </w:tcPr>
          <w:p w14:paraId="69FC5278">
            <w:pPr>
              <w:pStyle w:val="29"/>
              <w:keepNext w:val="0"/>
              <w:keepLines w:val="0"/>
              <w:widowControl w:val="0"/>
              <w:suppressLineNumbers w:val="0"/>
              <w:spacing w:before="0" w:beforeAutospacing="0" w:after="0" w:afterAutospacing="0"/>
              <w:ind w:left="0" w:leftChars="0" w:right="0" w:rightChars="0" w:firstLine="0" w:firstLineChars="0"/>
              <w:jc w:val="center"/>
              <w:rPr>
                <w:rFonts w:hint="eastAsia" w:ascii="宋体" w:hAnsi="宋体" w:eastAsia="宋体" w:cs="Times New Roman"/>
                <w:sz w:val="21"/>
                <w:szCs w:val="21"/>
                <w:lang w:val="en-US" w:eastAsia="zh-CN" w:bidi="ar-SA"/>
              </w:rPr>
            </w:pPr>
            <w:r>
              <w:rPr>
                <w:rFonts w:hint="eastAsia" w:ascii="宋体" w:hAnsi="宋体" w:eastAsia="宋体" w:cs="Times New Roman"/>
                <w:szCs w:val="21"/>
              </w:rPr>
              <w:t>姜</w:t>
            </w:r>
            <w:r>
              <w:rPr>
                <w:rFonts w:hint="eastAsia" w:ascii="宋体" w:hAnsi="宋体" w:eastAsia="宋体" w:cs="Times New Roman"/>
                <w:szCs w:val="21"/>
                <w:lang w:val="en-US" w:eastAsia="zh-CN"/>
              </w:rPr>
              <w:t xml:space="preserve">  </w:t>
            </w:r>
            <w:r>
              <w:rPr>
                <w:rFonts w:hint="eastAsia" w:ascii="宋体" w:hAnsi="宋体" w:eastAsia="宋体" w:cs="Times New Roman"/>
                <w:szCs w:val="21"/>
              </w:rPr>
              <w:t>涛</w:t>
            </w:r>
          </w:p>
        </w:tc>
        <w:tc>
          <w:tcPr>
            <w:tcW w:w="2023" w:type="dxa"/>
            <w:shd w:val="clear" w:color="auto" w:fill="auto"/>
            <w:vAlign w:val="center"/>
          </w:tcPr>
          <w:p w14:paraId="1083D05A">
            <w:pPr>
              <w:pStyle w:val="29"/>
              <w:keepNext w:val="0"/>
              <w:keepLines w:val="0"/>
              <w:widowControl w:val="0"/>
              <w:suppressLineNumbers w:val="0"/>
              <w:spacing w:before="0" w:beforeAutospacing="0" w:after="0" w:afterAutospacing="0"/>
              <w:ind w:left="0" w:leftChars="0" w:right="0" w:rightChars="0" w:firstLine="0" w:firstLineChars="0"/>
              <w:jc w:val="center"/>
              <w:rPr>
                <w:rFonts w:hint="eastAsia" w:ascii="宋体" w:hAnsi="宋体" w:eastAsia="宋体" w:cs="Times New Roman"/>
                <w:sz w:val="21"/>
                <w:szCs w:val="21"/>
                <w:lang w:val="en-US" w:eastAsia="zh-CN" w:bidi="ar-SA"/>
              </w:rPr>
            </w:pPr>
            <w:r>
              <w:rPr>
                <w:rFonts w:hint="eastAsia" w:ascii="宋体" w:hAnsi="宋体" w:eastAsia="宋体" w:cs="Times New Roman"/>
                <w:szCs w:val="21"/>
              </w:rPr>
              <w:t>龙口港集团有限公司</w:t>
            </w:r>
          </w:p>
        </w:tc>
        <w:tc>
          <w:tcPr>
            <w:tcW w:w="1288" w:type="dxa"/>
            <w:shd w:val="clear" w:color="auto" w:fill="auto"/>
            <w:vAlign w:val="center"/>
          </w:tcPr>
          <w:p w14:paraId="16C52780">
            <w:pPr>
              <w:pStyle w:val="29"/>
              <w:keepNext w:val="0"/>
              <w:keepLines w:val="0"/>
              <w:widowControl w:val="0"/>
              <w:suppressLineNumbers w:val="0"/>
              <w:spacing w:before="0" w:beforeAutospacing="0" w:after="0" w:afterAutospacing="0"/>
              <w:ind w:left="0" w:leftChars="0" w:right="0" w:rightChars="0" w:firstLine="0" w:firstLineChars="0"/>
              <w:jc w:val="center"/>
              <w:rPr>
                <w:rFonts w:hint="eastAsia" w:ascii="宋体" w:hAnsi="宋体" w:eastAsia="宋体" w:cs="Times New Roman"/>
                <w:sz w:val="21"/>
                <w:szCs w:val="21"/>
                <w:lang w:val="en-US" w:eastAsia="zh-CN" w:bidi="ar-SA"/>
              </w:rPr>
            </w:pPr>
            <w:r>
              <w:rPr>
                <w:rFonts w:hint="eastAsia" w:ascii="宋体" w:hAnsi="宋体" w:eastAsia="宋体" w:cs="Times New Roman"/>
                <w:szCs w:val="21"/>
              </w:rPr>
              <w:t>工程师/总经理</w:t>
            </w:r>
          </w:p>
        </w:tc>
        <w:tc>
          <w:tcPr>
            <w:tcW w:w="4016" w:type="dxa"/>
            <w:shd w:val="clear" w:color="auto" w:fill="auto"/>
            <w:vAlign w:val="center"/>
          </w:tcPr>
          <w:p w14:paraId="51F0CEFA">
            <w:pPr>
              <w:pStyle w:val="29"/>
              <w:keepNext w:val="0"/>
              <w:keepLines w:val="0"/>
              <w:widowControl w:val="0"/>
              <w:suppressLineNumbers w:val="0"/>
              <w:spacing w:before="0" w:beforeAutospacing="0" w:after="0" w:afterAutospacing="0"/>
              <w:ind w:left="0" w:leftChars="0" w:right="0" w:rightChars="0" w:firstLine="0" w:firstLineChars="0"/>
              <w:rPr>
                <w:rFonts w:hint="eastAsia" w:ascii="宋体" w:hAnsi="宋体" w:eastAsia="宋体" w:cs="Times New Roman"/>
                <w:sz w:val="21"/>
                <w:szCs w:val="21"/>
                <w:lang w:val="en-US" w:eastAsia="zh-CN" w:bidi="ar-SA"/>
              </w:rPr>
            </w:pPr>
            <w:r>
              <w:rPr>
                <w:rFonts w:hint="eastAsia" w:ascii="宋体" w:hAnsi="宋体" w:eastAsia="宋体" w:cs="Times New Roman"/>
                <w:szCs w:val="21"/>
              </w:rPr>
              <w:t>负责建立标准编写</w:t>
            </w:r>
            <w:r>
              <w:rPr>
                <w:rFonts w:hint="default" w:ascii="宋体" w:hAnsi="宋体" w:eastAsia="宋体" w:cs="Times New Roman"/>
                <w:szCs w:val="21"/>
              </w:rPr>
              <w:t>框架</w:t>
            </w:r>
            <w:r>
              <w:rPr>
                <w:rFonts w:hint="eastAsia" w:ascii="宋体" w:hAnsi="宋体" w:eastAsia="宋体" w:cs="Times New Roman"/>
                <w:szCs w:val="21"/>
              </w:rPr>
              <w:t>，</w:t>
            </w:r>
            <w:r>
              <w:rPr>
                <w:rFonts w:hint="default" w:ascii="宋体" w:hAnsi="宋体" w:eastAsia="宋体" w:cs="Times New Roman"/>
                <w:szCs w:val="21"/>
              </w:rPr>
              <w:t>负责标准的</w:t>
            </w:r>
            <w:r>
              <w:rPr>
                <w:rFonts w:hint="eastAsia" w:ascii="宋体" w:hAnsi="宋体" w:eastAsia="宋体" w:cs="Times New Roman"/>
                <w:szCs w:val="21"/>
              </w:rPr>
              <w:t>整体</w:t>
            </w:r>
            <w:r>
              <w:rPr>
                <w:rFonts w:hint="default" w:ascii="宋体" w:hAnsi="宋体" w:eastAsia="宋体" w:cs="Times New Roman"/>
                <w:szCs w:val="21"/>
              </w:rPr>
              <w:t>编写</w:t>
            </w:r>
            <w:r>
              <w:rPr>
                <w:rFonts w:hint="eastAsia" w:hAnsi="宋体" w:cs="Times New Roman"/>
                <w:szCs w:val="21"/>
                <w:lang w:val="en-US" w:eastAsia="zh-CN"/>
              </w:rPr>
              <w:t>与</w:t>
            </w:r>
            <w:r>
              <w:rPr>
                <w:rFonts w:hint="eastAsia" w:ascii="宋体" w:hAnsi="宋体" w:eastAsia="宋体" w:cs="Times New Roman"/>
                <w:szCs w:val="21"/>
              </w:rPr>
              <w:t>调研</w:t>
            </w:r>
            <w:r>
              <w:rPr>
                <w:rFonts w:hint="eastAsia" w:hAnsi="宋体" w:cs="Times New Roman"/>
                <w:szCs w:val="21"/>
                <w:lang w:val="en-US" w:eastAsia="zh-CN"/>
              </w:rPr>
              <w:t>组织</w:t>
            </w:r>
            <w:r>
              <w:rPr>
                <w:rFonts w:hint="eastAsia" w:ascii="宋体" w:hAnsi="宋体" w:eastAsia="宋体" w:cs="Times New Roman"/>
                <w:szCs w:val="21"/>
              </w:rPr>
              <w:t>，</w:t>
            </w:r>
            <w:r>
              <w:rPr>
                <w:rFonts w:hint="eastAsia" w:hAnsi="宋体" w:cs="Times New Roman"/>
                <w:szCs w:val="21"/>
                <w:lang w:val="en-US" w:eastAsia="zh-CN"/>
              </w:rPr>
              <w:t>参与</w:t>
            </w:r>
            <w:r>
              <w:rPr>
                <w:rFonts w:hint="default" w:ascii="宋体" w:hAnsi="宋体" w:eastAsia="宋体" w:cs="Times New Roman"/>
                <w:szCs w:val="21"/>
              </w:rPr>
              <w:t>标准</w:t>
            </w:r>
            <w:r>
              <w:rPr>
                <w:rFonts w:hint="eastAsia" w:ascii="宋体" w:hAnsi="宋体" w:eastAsia="宋体" w:cs="Times New Roman"/>
                <w:szCs w:val="21"/>
              </w:rPr>
              <w:t>第五章、第六章</w:t>
            </w:r>
            <w:r>
              <w:rPr>
                <w:rFonts w:hint="default" w:ascii="宋体" w:hAnsi="宋体" w:eastAsia="宋体" w:cs="Times New Roman"/>
                <w:szCs w:val="21"/>
              </w:rPr>
              <w:t>的编写。</w:t>
            </w:r>
          </w:p>
        </w:tc>
      </w:tr>
      <w:tr w14:paraId="6BCC7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5" w:type="dxa"/>
            <w:shd w:val="clear" w:color="auto" w:fill="auto"/>
            <w:vAlign w:val="center"/>
          </w:tcPr>
          <w:p w14:paraId="38FBBFA7">
            <w:pPr>
              <w:pStyle w:val="29"/>
              <w:keepNext w:val="0"/>
              <w:keepLines w:val="0"/>
              <w:widowControl w:val="0"/>
              <w:suppressLineNumbers w:val="0"/>
              <w:spacing w:before="0" w:beforeAutospacing="0" w:after="0" w:afterAutospacing="0"/>
              <w:ind w:left="0" w:leftChars="0" w:right="0" w:rightChars="0" w:firstLine="0" w:firstLineChars="0"/>
              <w:jc w:val="center"/>
              <w:rPr>
                <w:rFonts w:hint="eastAsia" w:ascii="宋体" w:hAnsi="宋体" w:eastAsia="宋体" w:cs="Times New Roman"/>
                <w:sz w:val="21"/>
                <w:szCs w:val="21"/>
                <w:highlight w:val="none"/>
                <w:lang w:val="en-US" w:eastAsia="zh-CN" w:bidi="ar-SA"/>
              </w:rPr>
            </w:pPr>
            <w:r>
              <w:rPr>
                <w:rFonts w:hint="eastAsia" w:ascii="宋体" w:hAnsi="宋体" w:eastAsia="宋体" w:cs="Times New Roman"/>
                <w:szCs w:val="21"/>
                <w:highlight w:val="none"/>
              </w:rPr>
              <w:t>赵得强</w:t>
            </w:r>
          </w:p>
        </w:tc>
        <w:tc>
          <w:tcPr>
            <w:tcW w:w="2023" w:type="dxa"/>
            <w:shd w:val="clear" w:color="auto" w:fill="auto"/>
            <w:vAlign w:val="center"/>
          </w:tcPr>
          <w:p w14:paraId="0DC50924">
            <w:pPr>
              <w:pStyle w:val="29"/>
              <w:keepNext w:val="0"/>
              <w:keepLines w:val="0"/>
              <w:widowControl w:val="0"/>
              <w:suppressLineNumbers w:val="0"/>
              <w:spacing w:before="0" w:beforeAutospacing="0" w:after="0" w:afterAutospacing="0"/>
              <w:ind w:left="0" w:leftChars="0" w:right="0" w:rightChars="0" w:firstLine="0" w:firstLineChars="0"/>
              <w:jc w:val="center"/>
              <w:rPr>
                <w:rFonts w:hint="eastAsia" w:ascii="宋体" w:hAnsi="宋体" w:eastAsia="宋体" w:cs="Times New Roman"/>
                <w:sz w:val="21"/>
                <w:szCs w:val="21"/>
                <w:highlight w:val="none"/>
                <w:lang w:val="en-US" w:eastAsia="zh-CN" w:bidi="ar-SA"/>
              </w:rPr>
            </w:pPr>
            <w:r>
              <w:rPr>
                <w:rFonts w:hint="eastAsia" w:ascii="宋体" w:hAnsi="宋体" w:eastAsia="宋体" w:cs="Times New Roman"/>
                <w:szCs w:val="21"/>
                <w:highlight w:val="none"/>
              </w:rPr>
              <w:t>龙口滨港液体化工码头有限公司</w:t>
            </w:r>
          </w:p>
        </w:tc>
        <w:tc>
          <w:tcPr>
            <w:tcW w:w="1288" w:type="dxa"/>
            <w:shd w:val="clear" w:color="auto" w:fill="auto"/>
            <w:vAlign w:val="center"/>
          </w:tcPr>
          <w:p w14:paraId="00AE6E96">
            <w:pPr>
              <w:pStyle w:val="29"/>
              <w:keepNext w:val="0"/>
              <w:keepLines w:val="0"/>
              <w:widowControl w:val="0"/>
              <w:suppressLineNumbers w:val="0"/>
              <w:spacing w:before="0" w:beforeAutospacing="0" w:after="0" w:afterAutospacing="0"/>
              <w:ind w:left="0" w:leftChars="0" w:right="0" w:rightChars="0" w:firstLine="0" w:firstLineChars="0"/>
              <w:jc w:val="center"/>
              <w:rPr>
                <w:rFonts w:hint="eastAsia" w:ascii="宋体" w:hAnsi="宋体" w:eastAsia="宋体" w:cs="Times New Roman"/>
                <w:sz w:val="21"/>
                <w:szCs w:val="21"/>
                <w:highlight w:val="none"/>
                <w:lang w:val="en-US" w:eastAsia="zh-CN" w:bidi="ar-SA"/>
              </w:rPr>
            </w:pPr>
            <w:r>
              <w:rPr>
                <w:rFonts w:hint="eastAsia" w:ascii="宋体" w:hAnsi="宋体" w:eastAsia="宋体" w:cs="Times New Roman"/>
                <w:szCs w:val="21"/>
                <w:highlight w:val="none"/>
              </w:rPr>
              <w:t>正高级工程师/副总经理</w:t>
            </w:r>
          </w:p>
        </w:tc>
        <w:tc>
          <w:tcPr>
            <w:tcW w:w="4016" w:type="dxa"/>
            <w:shd w:val="clear" w:color="auto" w:fill="auto"/>
            <w:vAlign w:val="center"/>
          </w:tcPr>
          <w:p w14:paraId="5E2E42DF">
            <w:pPr>
              <w:pStyle w:val="29"/>
              <w:keepNext w:val="0"/>
              <w:keepLines w:val="0"/>
              <w:widowControl w:val="0"/>
              <w:suppressLineNumbers w:val="0"/>
              <w:spacing w:before="0" w:beforeAutospacing="0" w:after="0" w:afterAutospacing="0"/>
              <w:ind w:left="0" w:leftChars="0" w:right="0" w:rightChars="0" w:firstLine="0" w:firstLineChars="0"/>
              <w:rPr>
                <w:rFonts w:hint="eastAsia" w:ascii="宋体" w:hAnsi="宋体" w:eastAsia="宋体" w:cs="Times New Roman"/>
                <w:sz w:val="21"/>
                <w:szCs w:val="21"/>
                <w:highlight w:val="none"/>
                <w:lang w:val="en-US" w:eastAsia="zh-CN" w:bidi="ar-SA"/>
              </w:rPr>
            </w:pPr>
            <w:r>
              <w:rPr>
                <w:rFonts w:hint="default" w:ascii="宋体" w:hAnsi="宋体" w:eastAsia="宋体" w:cs="Times New Roman"/>
                <w:szCs w:val="21"/>
                <w:highlight w:val="none"/>
              </w:rPr>
              <w:t>负责标准的</w:t>
            </w:r>
            <w:r>
              <w:rPr>
                <w:rFonts w:hint="eastAsia" w:ascii="宋体" w:hAnsi="宋体" w:eastAsia="宋体" w:cs="Times New Roman"/>
                <w:szCs w:val="21"/>
                <w:highlight w:val="none"/>
              </w:rPr>
              <w:t>整体</w:t>
            </w:r>
            <w:r>
              <w:rPr>
                <w:rFonts w:hint="default" w:ascii="宋体" w:hAnsi="宋体" w:eastAsia="宋体" w:cs="Times New Roman"/>
                <w:szCs w:val="21"/>
                <w:highlight w:val="none"/>
              </w:rPr>
              <w:t>编写</w:t>
            </w:r>
            <w:r>
              <w:rPr>
                <w:rFonts w:hint="eastAsia" w:ascii="宋体" w:hAnsi="宋体" w:eastAsia="宋体" w:cs="Times New Roman"/>
                <w:szCs w:val="21"/>
                <w:highlight w:val="none"/>
              </w:rPr>
              <w:t>，</w:t>
            </w:r>
            <w:r>
              <w:rPr>
                <w:rFonts w:hint="default" w:ascii="宋体" w:hAnsi="宋体" w:eastAsia="宋体" w:cs="Times New Roman"/>
                <w:szCs w:val="21"/>
                <w:highlight w:val="none"/>
              </w:rPr>
              <w:t>提供标准相关的</w:t>
            </w:r>
            <w:r>
              <w:rPr>
                <w:rFonts w:hint="eastAsia" w:ascii="宋体" w:hAnsi="宋体" w:eastAsia="宋体" w:cs="Times New Roman"/>
                <w:szCs w:val="21"/>
                <w:highlight w:val="none"/>
              </w:rPr>
              <w:t>应用</w:t>
            </w:r>
            <w:r>
              <w:rPr>
                <w:rFonts w:hint="default" w:ascii="宋体" w:hAnsi="宋体" w:eastAsia="宋体" w:cs="Times New Roman"/>
                <w:szCs w:val="21"/>
                <w:highlight w:val="none"/>
              </w:rPr>
              <w:t>建议和数据</w:t>
            </w:r>
            <w:r>
              <w:rPr>
                <w:rFonts w:hint="eastAsia" w:ascii="宋体" w:hAnsi="宋体" w:eastAsia="宋体" w:cs="Times New Roman"/>
                <w:szCs w:val="21"/>
                <w:highlight w:val="none"/>
              </w:rPr>
              <w:t>参数</w:t>
            </w:r>
            <w:r>
              <w:rPr>
                <w:rFonts w:hint="default" w:ascii="宋体" w:hAnsi="宋体" w:eastAsia="宋体" w:cs="Times New Roman"/>
                <w:szCs w:val="21"/>
                <w:highlight w:val="none"/>
              </w:rPr>
              <w:t>，</w:t>
            </w:r>
            <w:r>
              <w:rPr>
                <w:rFonts w:hint="eastAsia" w:hAnsi="宋体" w:cs="Times New Roman"/>
                <w:szCs w:val="21"/>
                <w:highlight w:val="none"/>
                <w:lang w:val="en-US" w:eastAsia="zh-CN"/>
              </w:rPr>
              <w:t>参与标准第六章、</w:t>
            </w:r>
            <w:r>
              <w:rPr>
                <w:rFonts w:hint="default" w:ascii="宋体" w:hAnsi="宋体" w:eastAsia="宋体" w:cs="Times New Roman"/>
                <w:szCs w:val="21"/>
                <w:highlight w:val="none"/>
              </w:rPr>
              <w:t>附录</w:t>
            </w:r>
            <w:r>
              <w:rPr>
                <w:rFonts w:hint="eastAsia" w:ascii="宋体" w:hAnsi="宋体" w:eastAsia="宋体" w:cs="Times New Roman"/>
                <w:szCs w:val="21"/>
                <w:highlight w:val="none"/>
              </w:rPr>
              <w:t>A</w:t>
            </w:r>
            <w:r>
              <w:rPr>
                <w:rFonts w:hint="eastAsia" w:hAnsi="宋体" w:cs="Times New Roman"/>
                <w:szCs w:val="21"/>
                <w:highlight w:val="none"/>
                <w:lang w:eastAsia="zh-CN"/>
              </w:rPr>
              <w:t>、</w:t>
            </w:r>
            <w:r>
              <w:rPr>
                <w:rFonts w:hint="eastAsia" w:hAnsi="宋体" w:cs="Times New Roman"/>
                <w:szCs w:val="21"/>
                <w:highlight w:val="none"/>
                <w:lang w:val="en-US" w:eastAsia="zh-CN"/>
              </w:rPr>
              <w:t>附录B的编写</w:t>
            </w:r>
            <w:r>
              <w:rPr>
                <w:rFonts w:hint="default" w:ascii="宋体" w:hAnsi="宋体" w:eastAsia="宋体" w:cs="Times New Roman"/>
                <w:szCs w:val="21"/>
                <w:highlight w:val="none"/>
              </w:rPr>
              <w:t>。</w:t>
            </w:r>
          </w:p>
        </w:tc>
      </w:tr>
      <w:tr w14:paraId="05F0D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5" w:type="dxa"/>
            <w:shd w:val="clear" w:color="auto" w:fill="auto"/>
            <w:vAlign w:val="center"/>
          </w:tcPr>
          <w:p w14:paraId="22C126CD">
            <w:pPr>
              <w:pStyle w:val="29"/>
              <w:keepNext w:val="0"/>
              <w:keepLines w:val="0"/>
              <w:widowControl w:val="0"/>
              <w:suppressLineNumbers w:val="0"/>
              <w:spacing w:before="0" w:beforeAutospacing="0" w:after="0" w:afterAutospacing="0"/>
              <w:ind w:left="0" w:right="0" w:firstLine="0" w:firstLineChars="0"/>
              <w:jc w:val="center"/>
              <w:rPr>
                <w:rFonts w:hint="default" w:ascii="宋体" w:hAnsi="宋体" w:eastAsia="宋体" w:cs="Times New Roman"/>
                <w:szCs w:val="21"/>
              </w:rPr>
            </w:pPr>
            <w:r>
              <w:rPr>
                <w:rFonts w:hint="eastAsia" w:ascii="宋体" w:hAnsi="宋体" w:eastAsia="宋体" w:cs="Times New Roman"/>
                <w:szCs w:val="21"/>
              </w:rPr>
              <w:t>李继春</w:t>
            </w:r>
          </w:p>
        </w:tc>
        <w:tc>
          <w:tcPr>
            <w:tcW w:w="2023" w:type="dxa"/>
            <w:shd w:val="clear" w:color="auto" w:fill="auto"/>
            <w:vAlign w:val="center"/>
          </w:tcPr>
          <w:p w14:paraId="1566E101">
            <w:pPr>
              <w:pStyle w:val="29"/>
              <w:keepNext w:val="0"/>
              <w:keepLines w:val="0"/>
              <w:widowControl w:val="0"/>
              <w:suppressLineNumbers w:val="0"/>
              <w:spacing w:before="0" w:beforeAutospacing="0" w:after="0" w:afterAutospacing="0"/>
              <w:ind w:left="0" w:right="0" w:firstLine="0" w:firstLineChars="0"/>
              <w:jc w:val="center"/>
              <w:rPr>
                <w:rFonts w:hint="default" w:ascii="宋体" w:hAnsi="宋体" w:eastAsia="宋体" w:cs="Times New Roman"/>
                <w:szCs w:val="21"/>
              </w:rPr>
            </w:pPr>
            <w:r>
              <w:rPr>
                <w:rFonts w:hint="eastAsia" w:ascii="宋体" w:hAnsi="宋体" w:eastAsia="宋体" w:cs="Times New Roman"/>
                <w:szCs w:val="21"/>
              </w:rPr>
              <w:t>交通运输部水运科学研究院</w:t>
            </w:r>
          </w:p>
        </w:tc>
        <w:tc>
          <w:tcPr>
            <w:tcW w:w="1288" w:type="dxa"/>
            <w:shd w:val="clear" w:color="auto" w:fill="auto"/>
            <w:vAlign w:val="center"/>
          </w:tcPr>
          <w:p w14:paraId="25A2363B">
            <w:pPr>
              <w:pStyle w:val="29"/>
              <w:keepNext w:val="0"/>
              <w:keepLines w:val="0"/>
              <w:widowControl w:val="0"/>
              <w:suppressLineNumbers w:val="0"/>
              <w:spacing w:before="0" w:beforeAutospacing="0" w:after="0" w:afterAutospacing="0"/>
              <w:ind w:left="0" w:right="0" w:firstLine="0" w:firstLineChars="0"/>
              <w:jc w:val="center"/>
              <w:rPr>
                <w:rFonts w:hint="default" w:ascii="宋体" w:hAnsi="宋体" w:eastAsia="宋体" w:cs="Times New Roman"/>
                <w:szCs w:val="21"/>
              </w:rPr>
            </w:pPr>
            <w:r>
              <w:rPr>
                <w:rFonts w:hint="eastAsia" w:ascii="宋体" w:hAnsi="宋体" w:eastAsia="宋体" w:cs="Times New Roman"/>
                <w:szCs w:val="21"/>
              </w:rPr>
              <w:t>研究员/主任</w:t>
            </w:r>
          </w:p>
        </w:tc>
        <w:tc>
          <w:tcPr>
            <w:tcW w:w="4016" w:type="dxa"/>
            <w:shd w:val="clear" w:color="auto" w:fill="auto"/>
            <w:vAlign w:val="center"/>
          </w:tcPr>
          <w:p w14:paraId="621EAF37">
            <w:pPr>
              <w:pStyle w:val="29"/>
              <w:keepNext w:val="0"/>
              <w:keepLines w:val="0"/>
              <w:widowControl w:val="0"/>
              <w:suppressLineNumbers w:val="0"/>
              <w:spacing w:before="0" w:beforeAutospacing="0" w:after="0" w:afterAutospacing="0"/>
              <w:ind w:left="0" w:right="0" w:firstLine="0" w:firstLineChars="0"/>
              <w:rPr>
                <w:rFonts w:hint="default" w:ascii="宋体" w:hAnsi="宋体" w:eastAsia="宋体" w:cs="Times New Roman"/>
                <w:szCs w:val="21"/>
              </w:rPr>
            </w:pPr>
            <w:r>
              <w:rPr>
                <w:rFonts w:hint="eastAsia" w:ascii="宋体" w:hAnsi="宋体" w:eastAsia="宋体" w:cs="Times New Roman"/>
                <w:szCs w:val="21"/>
              </w:rPr>
              <w:t>负责</w:t>
            </w:r>
            <w:r>
              <w:rPr>
                <w:rFonts w:hint="default" w:ascii="宋体" w:hAnsi="宋体" w:eastAsia="宋体" w:cs="Times New Roman"/>
                <w:szCs w:val="21"/>
              </w:rPr>
              <w:t>相关标准</w:t>
            </w:r>
            <w:r>
              <w:rPr>
                <w:rFonts w:hint="eastAsia" w:ascii="宋体" w:hAnsi="宋体" w:eastAsia="宋体" w:cs="Times New Roman"/>
                <w:szCs w:val="21"/>
              </w:rPr>
              <w:t>和</w:t>
            </w:r>
            <w:r>
              <w:rPr>
                <w:rFonts w:hint="default" w:ascii="宋体" w:hAnsi="宋体" w:eastAsia="宋体" w:cs="Times New Roman"/>
                <w:szCs w:val="21"/>
              </w:rPr>
              <w:t>技术文件</w:t>
            </w:r>
            <w:r>
              <w:rPr>
                <w:rFonts w:hint="eastAsia" w:ascii="宋体" w:hAnsi="宋体" w:eastAsia="宋体" w:cs="Times New Roman"/>
                <w:szCs w:val="21"/>
              </w:rPr>
              <w:t>规范</w:t>
            </w:r>
            <w:r>
              <w:rPr>
                <w:rFonts w:hint="default" w:ascii="宋体" w:hAnsi="宋体" w:eastAsia="宋体" w:cs="Times New Roman"/>
                <w:szCs w:val="21"/>
              </w:rPr>
              <w:t>的</w:t>
            </w:r>
            <w:r>
              <w:rPr>
                <w:rFonts w:hint="eastAsia" w:ascii="宋体" w:hAnsi="宋体" w:eastAsia="宋体" w:cs="Times New Roman"/>
                <w:szCs w:val="21"/>
              </w:rPr>
              <w:t>收集，</w:t>
            </w:r>
            <w:r>
              <w:rPr>
                <w:rFonts w:hint="default" w:ascii="宋体" w:hAnsi="宋体" w:eastAsia="宋体" w:cs="Times New Roman"/>
                <w:szCs w:val="21"/>
              </w:rPr>
              <w:t>参与标准</w:t>
            </w:r>
            <w:r>
              <w:rPr>
                <w:rFonts w:hint="eastAsia" w:ascii="宋体" w:hAnsi="宋体" w:eastAsia="宋体" w:cs="Times New Roman"/>
                <w:szCs w:val="21"/>
              </w:rPr>
              <w:t>第</w:t>
            </w:r>
            <w:r>
              <w:rPr>
                <w:rFonts w:hint="eastAsia" w:hAnsi="宋体" w:cs="Times New Roman"/>
                <w:szCs w:val="21"/>
                <w:lang w:val="en-US" w:eastAsia="zh-CN"/>
              </w:rPr>
              <w:t>七</w:t>
            </w:r>
            <w:r>
              <w:rPr>
                <w:rFonts w:hint="eastAsia" w:ascii="宋体" w:hAnsi="宋体" w:eastAsia="宋体" w:cs="Times New Roman"/>
                <w:szCs w:val="21"/>
              </w:rPr>
              <w:t>章</w:t>
            </w:r>
            <w:r>
              <w:rPr>
                <w:rFonts w:hint="eastAsia" w:hAnsi="宋体" w:cs="Times New Roman"/>
                <w:szCs w:val="21"/>
                <w:lang w:eastAsia="zh-CN"/>
              </w:rPr>
              <w:t>、</w:t>
            </w:r>
            <w:r>
              <w:rPr>
                <w:rFonts w:hint="eastAsia" w:hAnsi="宋体" w:cs="Times New Roman"/>
                <w:szCs w:val="21"/>
                <w:lang w:val="en-US" w:eastAsia="zh-CN"/>
              </w:rPr>
              <w:t>附录B</w:t>
            </w:r>
            <w:r>
              <w:rPr>
                <w:rFonts w:hint="default" w:ascii="宋体" w:hAnsi="宋体" w:eastAsia="宋体" w:cs="Times New Roman"/>
                <w:szCs w:val="21"/>
              </w:rPr>
              <w:t>的编写</w:t>
            </w:r>
            <w:r>
              <w:rPr>
                <w:rFonts w:hint="eastAsia" w:ascii="宋体" w:hAnsi="宋体" w:eastAsia="宋体" w:cs="Times New Roman"/>
                <w:szCs w:val="21"/>
              </w:rPr>
              <w:t>。</w:t>
            </w:r>
          </w:p>
        </w:tc>
      </w:tr>
      <w:tr w14:paraId="3DEBF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5" w:type="dxa"/>
            <w:shd w:val="clear" w:color="auto" w:fill="auto"/>
            <w:vAlign w:val="center"/>
          </w:tcPr>
          <w:p w14:paraId="1D38C4F3">
            <w:pPr>
              <w:pStyle w:val="29"/>
              <w:keepNext w:val="0"/>
              <w:keepLines w:val="0"/>
              <w:widowControl w:val="0"/>
              <w:suppressLineNumbers w:val="0"/>
              <w:spacing w:before="0" w:beforeAutospacing="0" w:after="0" w:afterAutospacing="0"/>
              <w:ind w:left="0" w:leftChars="0" w:right="0" w:rightChars="0" w:firstLine="0" w:firstLineChars="0"/>
              <w:jc w:val="center"/>
              <w:rPr>
                <w:rFonts w:hint="eastAsia" w:ascii="宋体" w:hAnsi="宋体" w:eastAsia="宋体" w:cs="Times New Roman"/>
                <w:sz w:val="21"/>
                <w:szCs w:val="21"/>
                <w:lang w:val="en-US" w:eastAsia="zh-CN" w:bidi="ar-SA"/>
              </w:rPr>
            </w:pPr>
            <w:r>
              <w:rPr>
                <w:rFonts w:hint="eastAsia" w:ascii="宋体" w:hAnsi="宋体" w:eastAsia="宋体" w:cs="Times New Roman"/>
                <w:szCs w:val="21"/>
              </w:rPr>
              <w:t>张少强</w:t>
            </w:r>
          </w:p>
        </w:tc>
        <w:tc>
          <w:tcPr>
            <w:tcW w:w="2023" w:type="dxa"/>
            <w:shd w:val="clear" w:color="auto" w:fill="auto"/>
            <w:vAlign w:val="center"/>
          </w:tcPr>
          <w:p w14:paraId="234CDBF5">
            <w:pPr>
              <w:pStyle w:val="29"/>
              <w:keepNext w:val="0"/>
              <w:keepLines w:val="0"/>
              <w:widowControl w:val="0"/>
              <w:suppressLineNumbers w:val="0"/>
              <w:spacing w:before="0" w:beforeAutospacing="0" w:after="0" w:afterAutospacing="0"/>
              <w:ind w:left="0" w:leftChars="0" w:right="0" w:rightChars="0" w:firstLine="0" w:firstLineChars="0"/>
              <w:jc w:val="center"/>
              <w:rPr>
                <w:rFonts w:hint="eastAsia" w:ascii="宋体" w:hAnsi="宋体" w:eastAsia="宋体" w:cs="Times New Roman"/>
                <w:sz w:val="21"/>
                <w:szCs w:val="21"/>
                <w:lang w:val="en-US" w:eastAsia="zh-CN" w:bidi="ar-SA"/>
              </w:rPr>
            </w:pPr>
            <w:r>
              <w:rPr>
                <w:rFonts w:hint="eastAsia" w:ascii="宋体" w:hAnsi="宋体" w:eastAsia="宋体" w:cs="Times New Roman"/>
                <w:szCs w:val="21"/>
              </w:rPr>
              <w:t>龙口港集团有限公司</w:t>
            </w:r>
          </w:p>
        </w:tc>
        <w:tc>
          <w:tcPr>
            <w:tcW w:w="1288" w:type="dxa"/>
            <w:shd w:val="clear" w:color="auto" w:fill="auto"/>
            <w:vAlign w:val="center"/>
          </w:tcPr>
          <w:p w14:paraId="0BE4DE6B">
            <w:pPr>
              <w:pStyle w:val="29"/>
              <w:keepNext w:val="0"/>
              <w:keepLines w:val="0"/>
              <w:widowControl w:val="0"/>
              <w:suppressLineNumbers w:val="0"/>
              <w:spacing w:before="0" w:beforeAutospacing="0" w:after="0" w:afterAutospacing="0"/>
              <w:ind w:left="0" w:leftChars="0" w:right="0" w:rightChars="0" w:firstLine="0" w:firstLineChars="0"/>
              <w:jc w:val="center"/>
              <w:rPr>
                <w:rFonts w:hint="eastAsia" w:ascii="宋体" w:hAnsi="宋体" w:eastAsia="宋体" w:cs="Times New Roman"/>
                <w:sz w:val="21"/>
                <w:szCs w:val="21"/>
                <w:lang w:val="en-US" w:eastAsia="zh-CN" w:bidi="ar-SA"/>
              </w:rPr>
            </w:pPr>
            <w:r>
              <w:rPr>
                <w:rFonts w:hint="eastAsia" w:ascii="宋体" w:hAnsi="宋体" w:eastAsia="宋体" w:cs="Times New Roman"/>
                <w:szCs w:val="21"/>
              </w:rPr>
              <w:t>高工/经理</w:t>
            </w:r>
          </w:p>
        </w:tc>
        <w:tc>
          <w:tcPr>
            <w:tcW w:w="4016" w:type="dxa"/>
            <w:shd w:val="clear" w:color="auto" w:fill="auto"/>
            <w:vAlign w:val="center"/>
          </w:tcPr>
          <w:p w14:paraId="0B1CF3C4">
            <w:pPr>
              <w:pStyle w:val="29"/>
              <w:keepNext w:val="0"/>
              <w:keepLines w:val="0"/>
              <w:widowControl w:val="0"/>
              <w:suppressLineNumbers w:val="0"/>
              <w:spacing w:before="0" w:beforeAutospacing="0" w:after="0" w:afterAutospacing="0"/>
              <w:ind w:left="0" w:leftChars="0" w:right="0" w:rightChars="0" w:firstLine="0" w:firstLineChars="0"/>
              <w:rPr>
                <w:rFonts w:hint="eastAsia" w:ascii="宋体" w:hAnsi="宋体" w:eastAsia="宋体" w:cs="Times New Roman"/>
                <w:sz w:val="21"/>
                <w:szCs w:val="21"/>
                <w:lang w:val="en-US" w:eastAsia="zh-CN" w:bidi="ar-SA"/>
              </w:rPr>
            </w:pPr>
            <w:r>
              <w:rPr>
                <w:rFonts w:hint="eastAsia" w:ascii="宋体" w:hAnsi="宋体" w:eastAsia="宋体" w:cs="Times New Roman"/>
                <w:szCs w:val="21"/>
              </w:rPr>
              <w:t>配合</w:t>
            </w:r>
            <w:r>
              <w:rPr>
                <w:rFonts w:hint="default" w:ascii="宋体" w:hAnsi="宋体" w:eastAsia="宋体" w:cs="Times New Roman"/>
                <w:szCs w:val="21"/>
              </w:rPr>
              <w:t>标准的调研工作，提供标准相关的</w:t>
            </w:r>
            <w:r>
              <w:rPr>
                <w:rFonts w:hint="eastAsia" w:ascii="宋体" w:hAnsi="宋体" w:eastAsia="宋体" w:cs="Times New Roman"/>
                <w:szCs w:val="21"/>
              </w:rPr>
              <w:t>应用</w:t>
            </w:r>
            <w:r>
              <w:rPr>
                <w:rFonts w:hint="default" w:ascii="宋体" w:hAnsi="宋体" w:eastAsia="宋体" w:cs="Times New Roman"/>
                <w:szCs w:val="21"/>
              </w:rPr>
              <w:t>建议，</w:t>
            </w:r>
            <w:r>
              <w:rPr>
                <w:rFonts w:hint="eastAsia" w:ascii="宋体" w:hAnsi="宋体" w:eastAsia="宋体" w:cs="Times New Roman"/>
                <w:szCs w:val="21"/>
              </w:rPr>
              <w:t>参与</w:t>
            </w:r>
            <w:r>
              <w:rPr>
                <w:rFonts w:hint="default" w:ascii="宋体" w:hAnsi="宋体" w:eastAsia="宋体" w:cs="Times New Roman"/>
                <w:szCs w:val="21"/>
              </w:rPr>
              <w:t>标准</w:t>
            </w:r>
            <w:r>
              <w:rPr>
                <w:rFonts w:hint="eastAsia" w:hAnsi="宋体" w:cs="Times New Roman"/>
                <w:szCs w:val="21"/>
                <w:lang w:val="en-US" w:eastAsia="zh-CN"/>
              </w:rPr>
              <w:t>第一章、第二章、第三章、第四章的编写</w:t>
            </w:r>
            <w:r>
              <w:rPr>
                <w:rFonts w:hint="default" w:ascii="宋体" w:hAnsi="宋体" w:eastAsia="宋体" w:cs="Times New Roman"/>
                <w:szCs w:val="21"/>
              </w:rPr>
              <w:t>。</w:t>
            </w:r>
          </w:p>
        </w:tc>
      </w:tr>
      <w:tr w14:paraId="25DD8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5" w:type="dxa"/>
            <w:shd w:val="clear" w:color="auto" w:fill="auto"/>
            <w:vAlign w:val="center"/>
          </w:tcPr>
          <w:p w14:paraId="0D3ABB6F">
            <w:pPr>
              <w:pStyle w:val="29"/>
              <w:keepNext w:val="0"/>
              <w:keepLines w:val="0"/>
              <w:widowControl w:val="0"/>
              <w:suppressLineNumbers w:val="0"/>
              <w:spacing w:before="0" w:beforeAutospacing="0" w:after="0" w:afterAutospacing="0"/>
              <w:ind w:left="0" w:right="0" w:firstLine="0" w:firstLineChars="0"/>
              <w:jc w:val="center"/>
              <w:rPr>
                <w:rFonts w:hint="default" w:ascii="宋体" w:hAnsi="宋体" w:eastAsia="宋体" w:cs="Times New Roman"/>
                <w:szCs w:val="21"/>
              </w:rPr>
            </w:pPr>
            <w:r>
              <w:rPr>
                <w:rFonts w:hint="eastAsia" w:ascii="宋体" w:hAnsi="宋体" w:eastAsia="宋体" w:cs="Times New Roman"/>
                <w:szCs w:val="21"/>
              </w:rPr>
              <w:t>王为周</w:t>
            </w:r>
          </w:p>
        </w:tc>
        <w:tc>
          <w:tcPr>
            <w:tcW w:w="2023" w:type="dxa"/>
            <w:shd w:val="clear" w:color="auto" w:fill="auto"/>
            <w:vAlign w:val="center"/>
          </w:tcPr>
          <w:p w14:paraId="183A05EA">
            <w:pPr>
              <w:pStyle w:val="29"/>
              <w:keepNext w:val="0"/>
              <w:keepLines w:val="0"/>
              <w:widowControl w:val="0"/>
              <w:suppressLineNumbers w:val="0"/>
              <w:spacing w:before="0" w:beforeAutospacing="0" w:after="0" w:afterAutospacing="0"/>
              <w:ind w:left="0" w:right="0" w:firstLine="0" w:firstLineChars="0"/>
              <w:jc w:val="center"/>
              <w:rPr>
                <w:rFonts w:hint="default" w:ascii="宋体" w:hAnsi="宋体" w:eastAsia="宋体" w:cs="Times New Roman"/>
                <w:szCs w:val="21"/>
              </w:rPr>
            </w:pPr>
            <w:r>
              <w:rPr>
                <w:rFonts w:hint="eastAsia" w:ascii="宋体" w:hAnsi="宋体" w:eastAsia="宋体" w:cs="Times New Roman"/>
                <w:szCs w:val="21"/>
              </w:rPr>
              <w:t>连云港远洋流体装卸设备有限公司</w:t>
            </w:r>
          </w:p>
        </w:tc>
        <w:tc>
          <w:tcPr>
            <w:tcW w:w="1288" w:type="dxa"/>
            <w:shd w:val="clear" w:color="auto" w:fill="auto"/>
            <w:vAlign w:val="center"/>
          </w:tcPr>
          <w:p w14:paraId="3105C762">
            <w:pPr>
              <w:pStyle w:val="29"/>
              <w:keepNext w:val="0"/>
              <w:keepLines w:val="0"/>
              <w:widowControl w:val="0"/>
              <w:suppressLineNumbers w:val="0"/>
              <w:spacing w:before="0" w:beforeAutospacing="0" w:after="0" w:afterAutospacing="0"/>
              <w:ind w:left="0" w:right="0" w:firstLine="0" w:firstLineChars="0"/>
              <w:jc w:val="center"/>
              <w:rPr>
                <w:rFonts w:hint="default" w:ascii="宋体" w:hAnsi="宋体" w:eastAsia="宋体" w:cs="Times New Roman"/>
                <w:szCs w:val="21"/>
              </w:rPr>
            </w:pPr>
            <w:r>
              <w:rPr>
                <w:rFonts w:hint="eastAsia" w:ascii="宋体" w:hAnsi="宋体" w:eastAsia="宋体" w:cs="Times New Roman"/>
                <w:szCs w:val="21"/>
              </w:rPr>
              <w:t>高工/技术总监</w:t>
            </w:r>
          </w:p>
        </w:tc>
        <w:tc>
          <w:tcPr>
            <w:tcW w:w="4016" w:type="dxa"/>
            <w:shd w:val="clear" w:color="auto" w:fill="auto"/>
            <w:vAlign w:val="center"/>
          </w:tcPr>
          <w:p w14:paraId="2E9964DD">
            <w:pPr>
              <w:pStyle w:val="29"/>
              <w:keepNext w:val="0"/>
              <w:keepLines w:val="0"/>
              <w:widowControl w:val="0"/>
              <w:suppressLineNumbers w:val="0"/>
              <w:spacing w:before="0" w:beforeAutospacing="0" w:after="0" w:afterAutospacing="0"/>
              <w:ind w:left="0" w:right="0" w:firstLine="0" w:firstLineChars="0"/>
              <w:rPr>
                <w:rFonts w:hint="default" w:ascii="宋体" w:hAnsi="宋体" w:eastAsia="宋体" w:cs="Times New Roman"/>
                <w:szCs w:val="21"/>
              </w:rPr>
            </w:pPr>
            <w:r>
              <w:rPr>
                <w:rFonts w:hint="eastAsia" w:ascii="宋体" w:hAnsi="宋体" w:eastAsia="宋体" w:cs="Times New Roman"/>
                <w:szCs w:val="21"/>
              </w:rPr>
              <w:t>配合</w:t>
            </w:r>
            <w:r>
              <w:rPr>
                <w:rFonts w:hint="default" w:ascii="宋体" w:hAnsi="宋体" w:eastAsia="宋体" w:cs="Times New Roman"/>
                <w:szCs w:val="21"/>
              </w:rPr>
              <w:t>标准的调研工作，提供标准相关的</w:t>
            </w:r>
            <w:r>
              <w:rPr>
                <w:rFonts w:hint="eastAsia" w:ascii="宋体" w:hAnsi="宋体" w:eastAsia="宋体" w:cs="Times New Roman"/>
                <w:szCs w:val="21"/>
              </w:rPr>
              <w:t>应用</w:t>
            </w:r>
            <w:r>
              <w:rPr>
                <w:rFonts w:hint="default" w:ascii="宋体" w:hAnsi="宋体" w:eastAsia="宋体" w:cs="Times New Roman"/>
                <w:szCs w:val="21"/>
              </w:rPr>
              <w:t>建议和数据</w:t>
            </w:r>
            <w:r>
              <w:rPr>
                <w:rFonts w:hint="eastAsia" w:ascii="宋体" w:hAnsi="宋体" w:eastAsia="宋体" w:cs="Times New Roman"/>
                <w:szCs w:val="21"/>
              </w:rPr>
              <w:t>参数</w:t>
            </w:r>
            <w:r>
              <w:rPr>
                <w:rFonts w:hint="default" w:ascii="宋体" w:hAnsi="宋体" w:eastAsia="宋体" w:cs="Times New Roman"/>
                <w:szCs w:val="21"/>
              </w:rPr>
              <w:t>，参与标准</w:t>
            </w:r>
            <w:r>
              <w:rPr>
                <w:rFonts w:hint="eastAsia" w:ascii="宋体" w:hAnsi="宋体" w:eastAsia="宋体" w:cs="Times New Roman"/>
                <w:szCs w:val="21"/>
              </w:rPr>
              <w:t>第五章、第六章</w:t>
            </w:r>
            <w:r>
              <w:rPr>
                <w:rFonts w:hint="default" w:ascii="宋体" w:hAnsi="宋体" w:eastAsia="宋体" w:cs="Times New Roman"/>
                <w:szCs w:val="21"/>
              </w:rPr>
              <w:t>的编写。</w:t>
            </w:r>
          </w:p>
        </w:tc>
      </w:tr>
      <w:tr w14:paraId="04302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5" w:type="dxa"/>
            <w:shd w:val="clear" w:color="auto" w:fill="auto"/>
            <w:vAlign w:val="center"/>
          </w:tcPr>
          <w:p w14:paraId="1CFC4A61">
            <w:pPr>
              <w:pStyle w:val="29"/>
              <w:keepNext w:val="0"/>
              <w:keepLines w:val="0"/>
              <w:widowControl w:val="0"/>
              <w:suppressLineNumbers w:val="0"/>
              <w:spacing w:before="0" w:beforeAutospacing="0" w:after="0" w:afterAutospacing="0"/>
              <w:ind w:left="0" w:right="0" w:firstLine="0" w:firstLineChars="0"/>
              <w:jc w:val="center"/>
              <w:rPr>
                <w:rFonts w:hint="default" w:ascii="宋体" w:hAnsi="宋体" w:eastAsia="宋体" w:cs="Times New Roman"/>
                <w:szCs w:val="21"/>
              </w:rPr>
            </w:pPr>
            <w:r>
              <w:rPr>
                <w:rFonts w:hint="eastAsia" w:ascii="宋体" w:hAnsi="宋体" w:eastAsia="宋体" w:cs="Times New Roman"/>
                <w:szCs w:val="21"/>
              </w:rPr>
              <w:t>郭</w:t>
            </w:r>
            <w:r>
              <w:rPr>
                <w:rFonts w:hint="eastAsia" w:ascii="宋体" w:hAnsi="宋体" w:eastAsia="宋体" w:cs="Times New Roman"/>
                <w:szCs w:val="21"/>
                <w:lang w:val="en-US" w:eastAsia="zh-CN"/>
              </w:rPr>
              <w:t xml:space="preserve">  </w:t>
            </w:r>
            <w:r>
              <w:rPr>
                <w:rFonts w:hint="eastAsia" w:ascii="宋体" w:hAnsi="宋体" w:eastAsia="宋体" w:cs="Times New Roman"/>
                <w:szCs w:val="21"/>
              </w:rPr>
              <w:t>峰</w:t>
            </w:r>
          </w:p>
        </w:tc>
        <w:tc>
          <w:tcPr>
            <w:tcW w:w="2023" w:type="dxa"/>
            <w:shd w:val="clear" w:color="auto" w:fill="auto"/>
            <w:vAlign w:val="center"/>
          </w:tcPr>
          <w:p w14:paraId="5F02A12E">
            <w:pPr>
              <w:pStyle w:val="29"/>
              <w:keepNext w:val="0"/>
              <w:keepLines w:val="0"/>
              <w:widowControl w:val="0"/>
              <w:suppressLineNumbers w:val="0"/>
              <w:spacing w:before="0" w:beforeAutospacing="0" w:after="0" w:afterAutospacing="0"/>
              <w:ind w:left="0" w:right="0" w:firstLine="0" w:firstLineChars="0"/>
              <w:jc w:val="center"/>
              <w:rPr>
                <w:rFonts w:hint="default" w:ascii="宋体" w:hAnsi="宋体" w:eastAsia="宋体" w:cs="Times New Roman"/>
                <w:szCs w:val="21"/>
              </w:rPr>
            </w:pPr>
            <w:r>
              <w:rPr>
                <w:rFonts w:hint="eastAsia" w:ascii="宋体" w:hAnsi="宋体" w:eastAsia="宋体" w:cs="Times New Roman"/>
                <w:szCs w:val="21"/>
              </w:rPr>
              <w:t>龙口滨港液体化工码头有限公司</w:t>
            </w:r>
          </w:p>
        </w:tc>
        <w:tc>
          <w:tcPr>
            <w:tcW w:w="1288" w:type="dxa"/>
            <w:shd w:val="clear" w:color="auto" w:fill="auto"/>
            <w:vAlign w:val="center"/>
          </w:tcPr>
          <w:p w14:paraId="74D37A21">
            <w:pPr>
              <w:pStyle w:val="29"/>
              <w:keepNext w:val="0"/>
              <w:keepLines w:val="0"/>
              <w:widowControl w:val="0"/>
              <w:suppressLineNumbers w:val="0"/>
              <w:spacing w:before="0" w:beforeAutospacing="0" w:after="0" w:afterAutospacing="0"/>
              <w:ind w:left="0" w:right="0" w:firstLine="0" w:firstLineChars="0"/>
              <w:jc w:val="center"/>
              <w:rPr>
                <w:rFonts w:hint="default" w:ascii="宋体" w:hAnsi="宋体" w:eastAsia="宋体" w:cs="Times New Roman"/>
                <w:szCs w:val="21"/>
              </w:rPr>
            </w:pPr>
            <w:r>
              <w:rPr>
                <w:rFonts w:hint="eastAsia" w:ascii="宋体" w:hAnsi="宋体" w:eastAsia="宋体" w:cs="Times New Roman"/>
                <w:szCs w:val="21"/>
              </w:rPr>
              <w:t>工程师/副主任</w:t>
            </w:r>
          </w:p>
        </w:tc>
        <w:tc>
          <w:tcPr>
            <w:tcW w:w="4016" w:type="dxa"/>
            <w:shd w:val="clear" w:color="auto" w:fill="auto"/>
            <w:vAlign w:val="center"/>
          </w:tcPr>
          <w:p w14:paraId="2F4D2003">
            <w:pPr>
              <w:pStyle w:val="29"/>
              <w:keepNext w:val="0"/>
              <w:keepLines w:val="0"/>
              <w:widowControl w:val="0"/>
              <w:suppressLineNumbers w:val="0"/>
              <w:spacing w:before="0" w:beforeAutospacing="0" w:after="0" w:afterAutospacing="0"/>
              <w:ind w:left="0" w:right="0" w:firstLine="0" w:firstLineChars="0"/>
              <w:rPr>
                <w:rFonts w:hint="default" w:ascii="宋体" w:hAnsi="宋体" w:eastAsia="宋体" w:cs="Times New Roman"/>
                <w:szCs w:val="21"/>
              </w:rPr>
            </w:pPr>
            <w:r>
              <w:rPr>
                <w:rFonts w:hint="eastAsia" w:ascii="宋体" w:hAnsi="宋体" w:eastAsia="宋体" w:cs="Times New Roman"/>
                <w:szCs w:val="21"/>
              </w:rPr>
              <w:t>配合</w:t>
            </w:r>
            <w:r>
              <w:rPr>
                <w:rFonts w:hint="default" w:ascii="宋体" w:hAnsi="宋体" w:eastAsia="宋体" w:cs="Times New Roman"/>
                <w:szCs w:val="21"/>
              </w:rPr>
              <w:t>标准的调研工作，提供标准相关的</w:t>
            </w:r>
            <w:r>
              <w:rPr>
                <w:rFonts w:hint="eastAsia" w:ascii="宋体" w:hAnsi="宋体" w:eastAsia="宋体" w:cs="Times New Roman"/>
                <w:szCs w:val="21"/>
              </w:rPr>
              <w:t>应用</w:t>
            </w:r>
            <w:r>
              <w:rPr>
                <w:rFonts w:hint="default" w:ascii="宋体" w:hAnsi="宋体" w:eastAsia="宋体" w:cs="Times New Roman"/>
                <w:szCs w:val="21"/>
              </w:rPr>
              <w:t>建议，</w:t>
            </w:r>
            <w:r>
              <w:rPr>
                <w:rFonts w:hint="eastAsia" w:ascii="宋体" w:hAnsi="宋体" w:eastAsia="宋体" w:cs="Times New Roman"/>
                <w:szCs w:val="21"/>
              </w:rPr>
              <w:t>参与</w:t>
            </w:r>
            <w:r>
              <w:rPr>
                <w:rFonts w:hint="default" w:ascii="宋体" w:hAnsi="宋体" w:eastAsia="宋体" w:cs="Times New Roman"/>
                <w:szCs w:val="21"/>
              </w:rPr>
              <w:t>第四章、第五章、第六章、第七章</w:t>
            </w:r>
            <w:r>
              <w:rPr>
                <w:rFonts w:hint="eastAsia" w:ascii="宋体" w:hAnsi="宋体" w:eastAsia="宋体" w:cs="Times New Roman"/>
                <w:szCs w:val="21"/>
              </w:rPr>
              <w:t>的编写，</w:t>
            </w:r>
            <w:r>
              <w:rPr>
                <w:rFonts w:hint="default" w:ascii="宋体" w:hAnsi="宋体" w:eastAsia="宋体" w:cs="Times New Roman"/>
                <w:szCs w:val="21"/>
              </w:rPr>
              <w:t>参与附录</w:t>
            </w:r>
            <w:r>
              <w:rPr>
                <w:rFonts w:hint="eastAsia" w:ascii="宋体" w:hAnsi="宋体" w:eastAsia="宋体" w:cs="Times New Roman"/>
                <w:szCs w:val="21"/>
              </w:rPr>
              <w:t>A、附录B</w:t>
            </w:r>
            <w:r>
              <w:rPr>
                <w:rFonts w:hint="default" w:ascii="宋体" w:hAnsi="宋体" w:eastAsia="宋体" w:cs="Times New Roman"/>
                <w:szCs w:val="21"/>
              </w:rPr>
              <w:t>的制定与编写。</w:t>
            </w:r>
          </w:p>
        </w:tc>
      </w:tr>
      <w:tr w14:paraId="43C3A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5" w:type="dxa"/>
            <w:shd w:val="clear" w:color="auto" w:fill="auto"/>
            <w:vAlign w:val="center"/>
          </w:tcPr>
          <w:p w14:paraId="191BAC21">
            <w:pPr>
              <w:pStyle w:val="29"/>
              <w:keepNext w:val="0"/>
              <w:keepLines w:val="0"/>
              <w:widowControl w:val="0"/>
              <w:suppressLineNumbers w:val="0"/>
              <w:spacing w:before="0" w:beforeAutospacing="0" w:after="0" w:afterAutospacing="0"/>
              <w:ind w:left="0" w:right="0" w:firstLine="0" w:firstLineChars="0"/>
              <w:jc w:val="center"/>
              <w:rPr>
                <w:rFonts w:hint="default" w:ascii="宋体" w:hAnsi="宋体" w:eastAsia="宋体" w:cs="Times New Roman"/>
                <w:szCs w:val="21"/>
              </w:rPr>
            </w:pPr>
            <w:r>
              <w:rPr>
                <w:rFonts w:hint="eastAsia" w:ascii="宋体" w:hAnsi="宋体" w:eastAsia="宋体" w:cs="Times New Roman"/>
                <w:szCs w:val="21"/>
              </w:rPr>
              <w:t>刘宗鹭</w:t>
            </w:r>
          </w:p>
        </w:tc>
        <w:tc>
          <w:tcPr>
            <w:tcW w:w="2023" w:type="dxa"/>
            <w:shd w:val="clear" w:color="auto" w:fill="auto"/>
            <w:vAlign w:val="center"/>
          </w:tcPr>
          <w:p w14:paraId="25361C50">
            <w:pPr>
              <w:pStyle w:val="29"/>
              <w:keepNext w:val="0"/>
              <w:keepLines w:val="0"/>
              <w:widowControl w:val="0"/>
              <w:suppressLineNumbers w:val="0"/>
              <w:spacing w:before="0" w:beforeAutospacing="0" w:after="0" w:afterAutospacing="0"/>
              <w:ind w:left="0" w:right="0" w:firstLine="0" w:firstLineChars="0"/>
              <w:jc w:val="center"/>
              <w:rPr>
                <w:rFonts w:hint="default" w:ascii="宋体" w:hAnsi="宋体" w:eastAsia="宋体" w:cs="Times New Roman"/>
                <w:szCs w:val="21"/>
              </w:rPr>
            </w:pPr>
            <w:r>
              <w:rPr>
                <w:rFonts w:hint="eastAsia" w:ascii="宋体" w:hAnsi="宋体" w:eastAsia="宋体" w:cs="Times New Roman"/>
                <w:szCs w:val="21"/>
              </w:rPr>
              <w:t>龙口滨港液体化工码头有限公司</w:t>
            </w:r>
          </w:p>
        </w:tc>
        <w:tc>
          <w:tcPr>
            <w:tcW w:w="1288" w:type="dxa"/>
            <w:shd w:val="clear" w:color="auto" w:fill="auto"/>
            <w:vAlign w:val="center"/>
          </w:tcPr>
          <w:p w14:paraId="19101275">
            <w:pPr>
              <w:pStyle w:val="29"/>
              <w:keepNext w:val="0"/>
              <w:keepLines w:val="0"/>
              <w:widowControl w:val="0"/>
              <w:suppressLineNumbers w:val="0"/>
              <w:spacing w:before="0" w:beforeAutospacing="0" w:after="0" w:afterAutospacing="0"/>
              <w:ind w:left="0" w:right="0" w:firstLine="0" w:firstLineChars="0"/>
              <w:jc w:val="center"/>
              <w:rPr>
                <w:rFonts w:hint="default" w:ascii="宋体" w:hAnsi="宋体" w:eastAsia="宋体" w:cs="Times New Roman"/>
                <w:szCs w:val="21"/>
              </w:rPr>
            </w:pPr>
            <w:r>
              <w:rPr>
                <w:rFonts w:hint="eastAsia" w:ascii="宋体" w:hAnsi="宋体" w:eastAsia="宋体" w:cs="Times New Roman"/>
                <w:szCs w:val="21"/>
              </w:rPr>
              <w:t>工程师/主任</w:t>
            </w:r>
          </w:p>
        </w:tc>
        <w:tc>
          <w:tcPr>
            <w:tcW w:w="4016" w:type="dxa"/>
            <w:shd w:val="clear" w:color="auto" w:fill="auto"/>
            <w:vAlign w:val="center"/>
          </w:tcPr>
          <w:p w14:paraId="0C02C135">
            <w:pPr>
              <w:pStyle w:val="29"/>
              <w:keepNext w:val="0"/>
              <w:keepLines w:val="0"/>
              <w:widowControl w:val="0"/>
              <w:suppressLineNumbers w:val="0"/>
              <w:spacing w:before="0" w:beforeAutospacing="0" w:after="0" w:afterAutospacing="0"/>
              <w:ind w:left="0" w:right="0" w:firstLine="0" w:firstLineChars="0"/>
              <w:rPr>
                <w:rFonts w:hint="default" w:ascii="宋体" w:hAnsi="宋体" w:eastAsia="宋体" w:cs="Times New Roman"/>
                <w:szCs w:val="21"/>
              </w:rPr>
            </w:pPr>
            <w:r>
              <w:rPr>
                <w:rFonts w:hint="eastAsia" w:ascii="宋体" w:hAnsi="宋体" w:eastAsia="宋体" w:cs="Times New Roman"/>
                <w:szCs w:val="21"/>
              </w:rPr>
              <w:t>配合</w:t>
            </w:r>
            <w:r>
              <w:rPr>
                <w:rFonts w:hint="default" w:ascii="宋体" w:hAnsi="宋体" w:eastAsia="宋体" w:cs="Times New Roman"/>
                <w:szCs w:val="21"/>
              </w:rPr>
              <w:t>标准的调研工作，提供标准相关的</w:t>
            </w:r>
            <w:r>
              <w:rPr>
                <w:rFonts w:hint="eastAsia" w:ascii="宋体" w:hAnsi="宋体" w:eastAsia="宋体" w:cs="Times New Roman"/>
                <w:szCs w:val="21"/>
              </w:rPr>
              <w:t>应用</w:t>
            </w:r>
            <w:r>
              <w:rPr>
                <w:rFonts w:hint="default" w:ascii="宋体" w:hAnsi="宋体" w:eastAsia="宋体" w:cs="Times New Roman"/>
                <w:szCs w:val="21"/>
              </w:rPr>
              <w:t>建议，</w:t>
            </w:r>
            <w:r>
              <w:rPr>
                <w:rFonts w:hint="eastAsia" w:ascii="宋体" w:hAnsi="宋体" w:eastAsia="宋体" w:cs="Times New Roman"/>
                <w:szCs w:val="21"/>
              </w:rPr>
              <w:t>参与</w:t>
            </w:r>
            <w:r>
              <w:rPr>
                <w:rFonts w:hint="default" w:ascii="宋体" w:hAnsi="宋体" w:eastAsia="宋体" w:cs="Times New Roman"/>
                <w:szCs w:val="21"/>
              </w:rPr>
              <w:t>标准</w:t>
            </w:r>
            <w:r>
              <w:rPr>
                <w:rFonts w:hint="eastAsia" w:ascii="宋体" w:hAnsi="宋体" w:eastAsia="宋体" w:cs="Times New Roman"/>
                <w:szCs w:val="21"/>
              </w:rPr>
              <w:t>内容的编写</w:t>
            </w:r>
            <w:r>
              <w:rPr>
                <w:rFonts w:hint="default" w:ascii="宋体" w:hAnsi="宋体" w:eastAsia="宋体" w:cs="Times New Roman"/>
                <w:szCs w:val="21"/>
              </w:rPr>
              <w:t>。</w:t>
            </w:r>
          </w:p>
        </w:tc>
      </w:tr>
      <w:tr w14:paraId="721AB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5" w:type="dxa"/>
            <w:shd w:val="clear" w:color="auto" w:fill="auto"/>
            <w:vAlign w:val="center"/>
          </w:tcPr>
          <w:p w14:paraId="7092A66C">
            <w:pPr>
              <w:pStyle w:val="29"/>
              <w:keepNext w:val="0"/>
              <w:keepLines w:val="0"/>
              <w:widowControl w:val="0"/>
              <w:suppressLineNumbers w:val="0"/>
              <w:spacing w:before="0" w:beforeAutospacing="0" w:after="0" w:afterAutospacing="0"/>
              <w:ind w:left="0" w:right="0" w:firstLine="0" w:firstLineChars="0"/>
              <w:jc w:val="center"/>
              <w:rPr>
                <w:rFonts w:hint="default" w:ascii="宋体" w:hAnsi="宋体" w:eastAsia="宋体" w:cs="Times New Roman"/>
                <w:szCs w:val="21"/>
              </w:rPr>
            </w:pPr>
            <w:r>
              <w:rPr>
                <w:rFonts w:hint="eastAsia" w:ascii="宋体" w:hAnsi="宋体" w:eastAsia="宋体" w:cs="Times New Roman"/>
                <w:szCs w:val="21"/>
              </w:rPr>
              <w:t>王</w:t>
            </w:r>
            <w:r>
              <w:rPr>
                <w:rFonts w:hint="eastAsia" w:ascii="宋体" w:hAnsi="宋体" w:eastAsia="宋体" w:cs="Times New Roman"/>
                <w:szCs w:val="21"/>
                <w:lang w:val="en-US" w:eastAsia="zh-CN"/>
              </w:rPr>
              <w:t xml:space="preserve">  </w:t>
            </w:r>
            <w:r>
              <w:rPr>
                <w:rFonts w:hint="eastAsia" w:ascii="宋体" w:hAnsi="宋体" w:eastAsia="宋体" w:cs="Times New Roman"/>
                <w:szCs w:val="21"/>
              </w:rPr>
              <w:t>健</w:t>
            </w:r>
          </w:p>
        </w:tc>
        <w:tc>
          <w:tcPr>
            <w:tcW w:w="2023" w:type="dxa"/>
            <w:shd w:val="clear" w:color="auto" w:fill="auto"/>
            <w:vAlign w:val="center"/>
          </w:tcPr>
          <w:p w14:paraId="04AEE69B">
            <w:pPr>
              <w:pStyle w:val="29"/>
              <w:keepNext w:val="0"/>
              <w:keepLines w:val="0"/>
              <w:widowControl w:val="0"/>
              <w:suppressLineNumbers w:val="0"/>
              <w:spacing w:before="0" w:beforeAutospacing="0" w:after="0" w:afterAutospacing="0"/>
              <w:ind w:left="0" w:right="0" w:firstLine="0" w:firstLineChars="0"/>
              <w:jc w:val="center"/>
              <w:rPr>
                <w:rFonts w:hint="default" w:ascii="宋体" w:hAnsi="宋体" w:eastAsia="宋体" w:cs="Times New Roman"/>
                <w:szCs w:val="21"/>
              </w:rPr>
            </w:pPr>
            <w:r>
              <w:rPr>
                <w:rFonts w:hint="eastAsia" w:ascii="宋体" w:hAnsi="宋体" w:eastAsia="宋体" w:cs="Times New Roman"/>
                <w:szCs w:val="21"/>
              </w:rPr>
              <w:t>龙口港集团有限公司</w:t>
            </w:r>
          </w:p>
        </w:tc>
        <w:tc>
          <w:tcPr>
            <w:tcW w:w="1288" w:type="dxa"/>
            <w:shd w:val="clear" w:color="auto" w:fill="auto"/>
            <w:vAlign w:val="center"/>
          </w:tcPr>
          <w:p w14:paraId="75FAFCB5">
            <w:pPr>
              <w:pStyle w:val="29"/>
              <w:keepNext w:val="0"/>
              <w:keepLines w:val="0"/>
              <w:widowControl w:val="0"/>
              <w:suppressLineNumbers w:val="0"/>
              <w:spacing w:before="0" w:beforeAutospacing="0" w:after="0" w:afterAutospacing="0"/>
              <w:ind w:left="0" w:right="0" w:firstLine="0" w:firstLineChars="0"/>
              <w:jc w:val="center"/>
              <w:rPr>
                <w:rFonts w:hint="default" w:ascii="宋体" w:hAnsi="宋体" w:eastAsia="宋体" w:cs="Times New Roman"/>
                <w:szCs w:val="21"/>
              </w:rPr>
            </w:pPr>
            <w:r>
              <w:rPr>
                <w:rFonts w:hint="eastAsia" w:ascii="宋体" w:hAnsi="宋体" w:eastAsia="宋体" w:cs="Times New Roman"/>
                <w:szCs w:val="21"/>
              </w:rPr>
              <w:t>高工/安全总监</w:t>
            </w:r>
          </w:p>
        </w:tc>
        <w:tc>
          <w:tcPr>
            <w:tcW w:w="4016" w:type="dxa"/>
            <w:shd w:val="clear" w:color="auto" w:fill="auto"/>
            <w:vAlign w:val="center"/>
          </w:tcPr>
          <w:p w14:paraId="335A704D">
            <w:pPr>
              <w:pStyle w:val="29"/>
              <w:keepNext w:val="0"/>
              <w:keepLines w:val="0"/>
              <w:widowControl w:val="0"/>
              <w:suppressLineNumbers w:val="0"/>
              <w:spacing w:before="0" w:beforeAutospacing="0" w:after="0" w:afterAutospacing="0"/>
              <w:ind w:left="0" w:right="0" w:firstLine="0" w:firstLineChars="0"/>
              <w:rPr>
                <w:rFonts w:hint="default" w:ascii="宋体" w:hAnsi="宋体" w:eastAsia="宋体" w:cs="Times New Roman"/>
                <w:szCs w:val="21"/>
              </w:rPr>
            </w:pPr>
            <w:r>
              <w:rPr>
                <w:rFonts w:hint="eastAsia" w:ascii="宋体" w:hAnsi="宋体" w:eastAsia="宋体" w:cs="Times New Roman"/>
                <w:szCs w:val="21"/>
              </w:rPr>
              <w:t>配合</w:t>
            </w:r>
            <w:r>
              <w:rPr>
                <w:rFonts w:hint="default" w:ascii="宋体" w:hAnsi="宋体" w:eastAsia="宋体" w:cs="Times New Roman"/>
                <w:szCs w:val="21"/>
              </w:rPr>
              <w:t>标准的调研工作，提供标准相关的</w:t>
            </w:r>
            <w:r>
              <w:rPr>
                <w:rFonts w:hint="eastAsia" w:ascii="宋体" w:hAnsi="宋体" w:eastAsia="宋体" w:cs="Times New Roman"/>
                <w:szCs w:val="21"/>
              </w:rPr>
              <w:t>应用</w:t>
            </w:r>
            <w:r>
              <w:rPr>
                <w:rFonts w:hint="default" w:ascii="宋体" w:hAnsi="宋体" w:eastAsia="宋体" w:cs="Times New Roman"/>
                <w:szCs w:val="21"/>
              </w:rPr>
              <w:t>建议，</w:t>
            </w:r>
            <w:r>
              <w:rPr>
                <w:rFonts w:hint="eastAsia" w:ascii="宋体" w:hAnsi="宋体" w:eastAsia="宋体" w:cs="Times New Roman"/>
                <w:szCs w:val="21"/>
              </w:rPr>
              <w:t>参与</w:t>
            </w:r>
            <w:r>
              <w:rPr>
                <w:rFonts w:hint="default" w:ascii="宋体" w:hAnsi="宋体" w:eastAsia="宋体" w:cs="Times New Roman"/>
                <w:szCs w:val="21"/>
              </w:rPr>
              <w:t>第四章、第五章的编写，</w:t>
            </w:r>
            <w:r>
              <w:rPr>
                <w:rFonts w:hint="eastAsia" w:ascii="宋体" w:hAnsi="宋体" w:eastAsia="宋体" w:cs="Times New Roman"/>
                <w:szCs w:val="21"/>
              </w:rPr>
              <w:t>附录A、附录B的补充完善</w:t>
            </w:r>
            <w:r>
              <w:rPr>
                <w:rFonts w:hint="default" w:ascii="宋体" w:hAnsi="宋体" w:eastAsia="宋体" w:cs="Times New Roman"/>
                <w:szCs w:val="21"/>
              </w:rPr>
              <w:t>。</w:t>
            </w:r>
          </w:p>
        </w:tc>
      </w:tr>
      <w:tr w14:paraId="07033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5" w:type="dxa"/>
            <w:shd w:val="clear" w:color="auto" w:fill="auto"/>
            <w:vAlign w:val="center"/>
          </w:tcPr>
          <w:p w14:paraId="7201B223">
            <w:pPr>
              <w:pStyle w:val="29"/>
              <w:keepNext w:val="0"/>
              <w:keepLines w:val="0"/>
              <w:widowControl w:val="0"/>
              <w:suppressLineNumbers w:val="0"/>
              <w:spacing w:before="0" w:beforeAutospacing="0" w:after="0" w:afterAutospacing="0"/>
              <w:ind w:left="0" w:right="0" w:firstLine="0" w:firstLineChars="0"/>
              <w:jc w:val="center"/>
              <w:rPr>
                <w:rFonts w:hint="default" w:ascii="宋体" w:hAnsi="宋体" w:eastAsia="宋体" w:cs="Times New Roman"/>
                <w:szCs w:val="21"/>
              </w:rPr>
            </w:pPr>
            <w:r>
              <w:rPr>
                <w:rFonts w:hint="eastAsia" w:ascii="宋体" w:hAnsi="宋体" w:eastAsia="宋体" w:cs="Times New Roman"/>
                <w:szCs w:val="21"/>
              </w:rPr>
              <w:t>张</w:t>
            </w:r>
            <w:r>
              <w:rPr>
                <w:rFonts w:hint="eastAsia" w:ascii="宋体" w:hAnsi="宋体" w:eastAsia="宋体" w:cs="Times New Roman"/>
                <w:szCs w:val="21"/>
                <w:lang w:val="en-US" w:eastAsia="zh-CN"/>
              </w:rPr>
              <w:t xml:space="preserve">  </w:t>
            </w:r>
            <w:r>
              <w:rPr>
                <w:rFonts w:hint="eastAsia" w:ascii="宋体" w:hAnsi="宋体" w:eastAsia="宋体" w:cs="Times New Roman"/>
                <w:szCs w:val="21"/>
              </w:rPr>
              <w:t>利</w:t>
            </w:r>
          </w:p>
        </w:tc>
        <w:tc>
          <w:tcPr>
            <w:tcW w:w="2023" w:type="dxa"/>
            <w:shd w:val="clear" w:color="auto" w:fill="auto"/>
            <w:vAlign w:val="center"/>
          </w:tcPr>
          <w:p w14:paraId="3E715671">
            <w:pPr>
              <w:pStyle w:val="29"/>
              <w:keepNext w:val="0"/>
              <w:keepLines w:val="0"/>
              <w:widowControl w:val="0"/>
              <w:suppressLineNumbers w:val="0"/>
              <w:spacing w:before="0" w:beforeAutospacing="0" w:after="0" w:afterAutospacing="0"/>
              <w:ind w:left="0" w:right="0" w:firstLine="0" w:firstLineChars="0"/>
              <w:jc w:val="center"/>
              <w:rPr>
                <w:rFonts w:hint="default" w:ascii="宋体" w:hAnsi="宋体" w:eastAsia="宋体" w:cs="Times New Roman"/>
                <w:szCs w:val="21"/>
              </w:rPr>
            </w:pPr>
            <w:r>
              <w:rPr>
                <w:rFonts w:hint="eastAsia" w:ascii="宋体" w:hAnsi="宋体" w:eastAsia="宋体" w:cs="Times New Roman"/>
                <w:szCs w:val="21"/>
              </w:rPr>
              <w:t>龙口滨港液体化工码头有限公司</w:t>
            </w:r>
          </w:p>
        </w:tc>
        <w:tc>
          <w:tcPr>
            <w:tcW w:w="1288" w:type="dxa"/>
            <w:shd w:val="clear" w:color="auto" w:fill="auto"/>
            <w:vAlign w:val="center"/>
          </w:tcPr>
          <w:p w14:paraId="58D943BF">
            <w:pPr>
              <w:pStyle w:val="29"/>
              <w:keepNext w:val="0"/>
              <w:keepLines w:val="0"/>
              <w:widowControl w:val="0"/>
              <w:suppressLineNumbers w:val="0"/>
              <w:spacing w:before="0" w:beforeAutospacing="0" w:after="0" w:afterAutospacing="0"/>
              <w:ind w:left="0" w:right="0" w:firstLine="0" w:firstLineChars="0"/>
              <w:jc w:val="center"/>
              <w:rPr>
                <w:rFonts w:hint="default" w:ascii="宋体" w:hAnsi="宋体" w:eastAsia="宋体" w:cs="Times New Roman"/>
                <w:szCs w:val="21"/>
              </w:rPr>
            </w:pPr>
            <w:r>
              <w:rPr>
                <w:rFonts w:hint="eastAsia" w:ascii="宋体" w:hAnsi="宋体" w:eastAsia="宋体" w:cs="Times New Roman"/>
                <w:szCs w:val="21"/>
              </w:rPr>
              <w:t>高工/副总经理</w:t>
            </w:r>
          </w:p>
        </w:tc>
        <w:tc>
          <w:tcPr>
            <w:tcW w:w="4016" w:type="dxa"/>
            <w:shd w:val="clear" w:color="auto" w:fill="auto"/>
            <w:vAlign w:val="center"/>
          </w:tcPr>
          <w:p w14:paraId="7F38F532">
            <w:pPr>
              <w:pStyle w:val="29"/>
              <w:keepNext w:val="0"/>
              <w:keepLines w:val="0"/>
              <w:widowControl w:val="0"/>
              <w:suppressLineNumbers w:val="0"/>
              <w:spacing w:before="0" w:beforeAutospacing="0" w:after="0" w:afterAutospacing="0"/>
              <w:ind w:left="0" w:right="0" w:firstLine="0" w:firstLineChars="0"/>
              <w:rPr>
                <w:rFonts w:hint="default" w:ascii="宋体" w:hAnsi="宋体" w:eastAsia="宋体" w:cs="Times New Roman"/>
                <w:szCs w:val="21"/>
              </w:rPr>
            </w:pPr>
            <w:r>
              <w:rPr>
                <w:rFonts w:hint="eastAsia" w:ascii="宋体" w:hAnsi="宋体" w:eastAsia="宋体" w:cs="Times New Roman"/>
                <w:szCs w:val="21"/>
              </w:rPr>
              <w:t>负责标准</w:t>
            </w:r>
            <w:r>
              <w:rPr>
                <w:rFonts w:hint="default" w:ascii="宋体" w:hAnsi="宋体" w:eastAsia="宋体" w:cs="Times New Roman"/>
                <w:szCs w:val="21"/>
              </w:rPr>
              <w:t>中</w:t>
            </w:r>
            <w:r>
              <w:rPr>
                <w:rFonts w:hint="eastAsia" w:ascii="宋体" w:hAnsi="宋体" w:eastAsia="宋体" w:cs="Times New Roman"/>
                <w:szCs w:val="21"/>
              </w:rPr>
              <w:t>第六章、第七章</w:t>
            </w:r>
            <w:r>
              <w:rPr>
                <w:rFonts w:hint="default" w:ascii="宋体" w:hAnsi="宋体" w:eastAsia="宋体" w:cs="Times New Roman"/>
                <w:szCs w:val="21"/>
              </w:rPr>
              <w:t>的编写，</w:t>
            </w:r>
            <w:r>
              <w:rPr>
                <w:rFonts w:hint="eastAsia" w:ascii="宋体" w:hAnsi="宋体" w:eastAsia="宋体" w:cs="Times New Roman"/>
                <w:szCs w:val="21"/>
              </w:rPr>
              <w:t>附录A、附录B的补充完善，参与</w:t>
            </w:r>
            <w:r>
              <w:rPr>
                <w:rFonts w:hint="default" w:ascii="宋体" w:hAnsi="宋体" w:eastAsia="宋体" w:cs="Times New Roman"/>
                <w:szCs w:val="21"/>
              </w:rPr>
              <w:t>制定标准</w:t>
            </w:r>
            <w:r>
              <w:rPr>
                <w:rFonts w:hint="eastAsia" w:ascii="宋体" w:hAnsi="宋体" w:eastAsia="宋体" w:cs="Times New Roman"/>
                <w:szCs w:val="21"/>
              </w:rPr>
              <w:t>编写</w:t>
            </w:r>
            <w:r>
              <w:rPr>
                <w:rFonts w:hint="default" w:ascii="宋体" w:hAnsi="宋体" w:eastAsia="宋体" w:cs="Times New Roman"/>
                <w:szCs w:val="21"/>
              </w:rPr>
              <w:t>框架，参与标准的内部审核</w:t>
            </w:r>
            <w:r>
              <w:rPr>
                <w:rFonts w:hint="eastAsia" w:ascii="宋体" w:hAnsi="宋体" w:eastAsia="宋体" w:cs="Times New Roman"/>
                <w:szCs w:val="21"/>
              </w:rPr>
              <w:t>工作</w:t>
            </w:r>
            <w:r>
              <w:rPr>
                <w:rFonts w:hint="default" w:ascii="宋体" w:hAnsi="宋体" w:eastAsia="宋体" w:cs="Times New Roman"/>
                <w:szCs w:val="21"/>
              </w:rPr>
              <w:t>。</w:t>
            </w:r>
          </w:p>
        </w:tc>
      </w:tr>
      <w:tr w14:paraId="0B23A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5" w:type="dxa"/>
            <w:shd w:val="clear" w:color="auto" w:fill="auto"/>
            <w:vAlign w:val="center"/>
          </w:tcPr>
          <w:p w14:paraId="1736C361">
            <w:pPr>
              <w:pStyle w:val="29"/>
              <w:keepNext w:val="0"/>
              <w:keepLines w:val="0"/>
              <w:widowControl w:val="0"/>
              <w:suppressLineNumbers w:val="0"/>
              <w:spacing w:before="0" w:beforeAutospacing="0" w:after="0" w:afterAutospacing="0"/>
              <w:ind w:left="0" w:right="0" w:firstLine="0" w:firstLineChars="0"/>
              <w:jc w:val="center"/>
              <w:rPr>
                <w:rFonts w:hint="default" w:ascii="宋体" w:hAnsi="宋体" w:eastAsia="宋体" w:cs="Times New Roman"/>
                <w:szCs w:val="21"/>
              </w:rPr>
            </w:pPr>
            <w:r>
              <w:rPr>
                <w:rFonts w:hint="eastAsia" w:ascii="宋体" w:hAnsi="宋体" w:eastAsia="宋体" w:cs="Times New Roman"/>
                <w:szCs w:val="21"/>
              </w:rPr>
              <w:t>李</w:t>
            </w:r>
            <w:r>
              <w:rPr>
                <w:rFonts w:hint="eastAsia" w:ascii="宋体" w:hAnsi="宋体" w:eastAsia="宋体" w:cs="Times New Roman"/>
                <w:szCs w:val="21"/>
                <w:lang w:val="en-US" w:eastAsia="zh-CN"/>
              </w:rPr>
              <w:t xml:space="preserve">  </w:t>
            </w:r>
            <w:r>
              <w:rPr>
                <w:rFonts w:hint="eastAsia" w:ascii="宋体" w:hAnsi="宋体" w:eastAsia="宋体" w:cs="Times New Roman"/>
                <w:szCs w:val="21"/>
              </w:rPr>
              <w:t>京</w:t>
            </w:r>
          </w:p>
        </w:tc>
        <w:tc>
          <w:tcPr>
            <w:tcW w:w="2023" w:type="dxa"/>
            <w:shd w:val="clear" w:color="auto" w:fill="auto"/>
            <w:vAlign w:val="center"/>
          </w:tcPr>
          <w:p w14:paraId="3F8F0F6A">
            <w:pPr>
              <w:pStyle w:val="29"/>
              <w:keepNext w:val="0"/>
              <w:keepLines w:val="0"/>
              <w:widowControl w:val="0"/>
              <w:suppressLineNumbers w:val="0"/>
              <w:spacing w:before="0" w:beforeAutospacing="0" w:after="0" w:afterAutospacing="0"/>
              <w:ind w:left="0" w:right="0" w:firstLine="0" w:firstLineChars="0"/>
              <w:jc w:val="center"/>
              <w:rPr>
                <w:rFonts w:hint="default" w:ascii="宋体" w:hAnsi="宋体" w:eastAsia="宋体" w:cs="Times New Roman"/>
                <w:szCs w:val="21"/>
              </w:rPr>
            </w:pPr>
            <w:r>
              <w:rPr>
                <w:rFonts w:hint="eastAsia" w:ascii="宋体" w:hAnsi="宋体" w:eastAsia="宋体" w:cs="Times New Roman"/>
                <w:szCs w:val="21"/>
              </w:rPr>
              <w:t>龙口滨港液体化工码头有限公司</w:t>
            </w:r>
          </w:p>
        </w:tc>
        <w:tc>
          <w:tcPr>
            <w:tcW w:w="1288" w:type="dxa"/>
            <w:shd w:val="clear" w:color="auto" w:fill="auto"/>
            <w:vAlign w:val="center"/>
          </w:tcPr>
          <w:p w14:paraId="355AB880">
            <w:pPr>
              <w:pStyle w:val="29"/>
              <w:keepNext w:val="0"/>
              <w:keepLines w:val="0"/>
              <w:widowControl w:val="0"/>
              <w:suppressLineNumbers w:val="0"/>
              <w:spacing w:before="0" w:beforeAutospacing="0" w:after="0" w:afterAutospacing="0"/>
              <w:ind w:left="0" w:right="0" w:firstLine="0" w:firstLineChars="0"/>
              <w:jc w:val="center"/>
              <w:rPr>
                <w:rFonts w:hint="default" w:ascii="宋体" w:hAnsi="宋体" w:eastAsia="宋体" w:cs="Times New Roman"/>
                <w:szCs w:val="21"/>
              </w:rPr>
            </w:pPr>
            <w:r>
              <w:rPr>
                <w:rFonts w:hint="eastAsia" w:ascii="宋体" w:hAnsi="宋体" w:eastAsia="宋体" w:cs="Times New Roman"/>
                <w:szCs w:val="21"/>
              </w:rPr>
              <w:t>工程师/主任</w:t>
            </w:r>
          </w:p>
        </w:tc>
        <w:tc>
          <w:tcPr>
            <w:tcW w:w="4016" w:type="dxa"/>
            <w:shd w:val="clear" w:color="auto" w:fill="auto"/>
            <w:vAlign w:val="center"/>
          </w:tcPr>
          <w:p w14:paraId="4C557FBF">
            <w:pPr>
              <w:pStyle w:val="29"/>
              <w:keepNext w:val="0"/>
              <w:keepLines w:val="0"/>
              <w:widowControl w:val="0"/>
              <w:suppressLineNumbers w:val="0"/>
              <w:spacing w:before="0" w:beforeAutospacing="0" w:after="0" w:afterAutospacing="0"/>
              <w:ind w:left="0" w:right="0" w:firstLine="0" w:firstLineChars="0"/>
              <w:rPr>
                <w:rFonts w:hint="default" w:ascii="宋体" w:hAnsi="宋体" w:eastAsia="宋体" w:cs="Times New Roman"/>
                <w:szCs w:val="21"/>
              </w:rPr>
            </w:pPr>
            <w:r>
              <w:rPr>
                <w:rFonts w:hint="eastAsia" w:ascii="宋体" w:hAnsi="宋体" w:eastAsia="宋体" w:cs="Times New Roman"/>
                <w:szCs w:val="21"/>
              </w:rPr>
              <w:t>参与第六章、第七章的编写工作，附录A、附录B的补充完善，并负责全文文本整理。</w:t>
            </w:r>
          </w:p>
        </w:tc>
      </w:tr>
      <w:tr w14:paraId="7CE35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5" w:type="dxa"/>
            <w:shd w:val="clear" w:color="auto" w:fill="auto"/>
            <w:vAlign w:val="center"/>
          </w:tcPr>
          <w:p w14:paraId="064F5BA0">
            <w:pPr>
              <w:pStyle w:val="29"/>
              <w:keepNext w:val="0"/>
              <w:keepLines w:val="0"/>
              <w:widowControl w:val="0"/>
              <w:suppressLineNumbers w:val="0"/>
              <w:spacing w:before="0" w:beforeAutospacing="0" w:after="0" w:afterAutospacing="0"/>
              <w:ind w:left="0" w:right="0" w:firstLine="0" w:firstLineChars="0"/>
              <w:jc w:val="center"/>
              <w:rPr>
                <w:rFonts w:hint="default" w:ascii="宋体" w:hAnsi="宋体" w:eastAsia="宋体" w:cs="Times New Roman"/>
                <w:szCs w:val="21"/>
              </w:rPr>
            </w:pPr>
            <w:r>
              <w:rPr>
                <w:rFonts w:hint="eastAsia" w:ascii="宋体" w:hAnsi="宋体" w:eastAsia="宋体" w:cs="Times New Roman"/>
                <w:szCs w:val="21"/>
              </w:rPr>
              <w:t>胡</w:t>
            </w:r>
            <w:r>
              <w:rPr>
                <w:rFonts w:hint="eastAsia" w:ascii="宋体" w:hAnsi="宋体" w:eastAsia="宋体" w:cs="Times New Roman"/>
                <w:szCs w:val="21"/>
                <w:lang w:val="en-US" w:eastAsia="zh-CN"/>
              </w:rPr>
              <w:t xml:space="preserve">  </w:t>
            </w:r>
            <w:r>
              <w:rPr>
                <w:rFonts w:hint="eastAsia" w:ascii="宋体" w:hAnsi="宋体" w:eastAsia="宋体" w:cs="Times New Roman"/>
                <w:szCs w:val="21"/>
              </w:rPr>
              <w:t>笳</w:t>
            </w:r>
          </w:p>
        </w:tc>
        <w:tc>
          <w:tcPr>
            <w:tcW w:w="2023" w:type="dxa"/>
            <w:shd w:val="clear" w:color="auto" w:fill="auto"/>
            <w:vAlign w:val="center"/>
          </w:tcPr>
          <w:p w14:paraId="4B2E1C6B">
            <w:pPr>
              <w:pStyle w:val="29"/>
              <w:keepNext w:val="0"/>
              <w:keepLines w:val="0"/>
              <w:widowControl w:val="0"/>
              <w:suppressLineNumbers w:val="0"/>
              <w:spacing w:before="0" w:beforeAutospacing="0" w:after="0" w:afterAutospacing="0"/>
              <w:ind w:left="0" w:right="0" w:firstLine="0" w:firstLineChars="0"/>
              <w:jc w:val="center"/>
              <w:rPr>
                <w:rFonts w:hint="default" w:ascii="宋体" w:hAnsi="宋体" w:eastAsia="宋体" w:cs="Times New Roman"/>
                <w:szCs w:val="21"/>
              </w:rPr>
            </w:pPr>
            <w:r>
              <w:rPr>
                <w:rFonts w:hint="eastAsia" w:ascii="宋体" w:hAnsi="宋体" w:eastAsia="宋体" w:cs="Times New Roman"/>
                <w:szCs w:val="21"/>
              </w:rPr>
              <w:t>交通运输部水运科学研究院</w:t>
            </w:r>
          </w:p>
        </w:tc>
        <w:tc>
          <w:tcPr>
            <w:tcW w:w="1288" w:type="dxa"/>
            <w:shd w:val="clear" w:color="auto" w:fill="auto"/>
            <w:vAlign w:val="center"/>
          </w:tcPr>
          <w:p w14:paraId="55E865C4">
            <w:pPr>
              <w:pStyle w:val="29"/>
              <w:keepNext w:val="0"/>
              <w:keepLines w:val="0"/>
              <w:widowControl w:val="0"/>
              <w:suppressLineNumbers w:val="0"/>
              <w:spacing w:before="0" w:beforeAutospacing="0" w:after="0" w:afterAutospacing="0"/>
              <w:ind w:left="0" w:right="0" w:firstLine="0" w:firstLineChars="0"/>
              <w:jc w:val="center"/>
              <w:rPr>
                <w:rFonts w:hint="default" w:ascii="宋体" w:hAnsi="宋体" w:eastAsia="宋体" w:cs="Times New Roman"/>
                <w:szCs w:val="21"/>
              </w:rPr>
            </w:pPr>
            <w:r>
              <w:rPr>
                <w:rFonts w:hint="eastAsia" w:ascii="宋体" w:hAnsi="宋体" w:eastAsia="宋体" w:cs="Times New Roman"/>
                <w:szCs w:val="21"/>
              </w:rPr>
              <w:t>副研究员</w:t>
            </w:r>
          </w:p>
        </w:tc>
        <w:tc>
          <w:tcPr>
            <w:tcW w:w="4016" w:type="dxa"/>
            <w:shd w:val="clear" w:color="auto" w:fill="auto"/>
            <w:vAlign w:val="center"/>
          </w:tcPr>
          <w:p w14:paraId="5D782391">
            <w:pPr>
              <w:pStyle w:val="29"/>
              <w:keepNext w:val="0"/>
              <w:keepLines w:val="0"/>
              <w:widowControl w:val="0"/>
              <w:suppressLineNumbers w:val="0"/>
              <w:spacing w:before="0" w:beforeAutospacing="0" w:after="0" w:afterAutospacing="0"/>
              <w:ind w:left="0" w:right="0" w:firstLine="0" w:firstLineChars="0"/>
              <w:rPr>
                <w:rFonts w:hint="default" w:ascii="宋体" w:hAnsi="宋体" w:eastAsia="宋体" w:cs="Times New Roman"/>
                <w:szCs w:val="21"/>
              </w:rPr>
            </w:pPr>
            <w:r>
              <w:rPr>
                <w:rFonts w:hint="eastAsia" w:ascii="宋体" w:hAnsi="宋体" w:eastAsia="宋体" w:cs="Times New Roman"/>
                <w:szCs w:val="21"/>
              </w:rPr>
              <w:t>参与第六章、第七章、附录A、附录B的编写工作，并负责全文文本整理。</w:t>
            </w:r>
          </w:p>
        </w:tc>
      </w:tr>
      <w:tr w14:paraId="1F8F4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5" w:type="dxa"/>
            <w:shd w:val="clear" w:color="auto" w:fill="auto"/>
            <w:vAlign w:val="center"/>
          </w:tcPr>
          <w:p w14:paraId="52AFBE0A">
            <w:pPr>
              <w:pStyle w:val="29"/>
              <w:keepNext w:val="0"/>
              <w:keepLines w:val="0"/>
              <w:widowControl w:val="0"/>
              <w:suppressLineNumbers w:val="0"/>
              <w:spacing w:before="0" w:beforeAutospacing="0" w:after="0" w:afterAutospacing="0"/>
              <w:ind w:left="0" w:right="0" w:firstLine="0" w:firstLineChars="0"/>
              <w:jc w:val="center"/>
              <w:rPr>
                <w:rFonts w:hint="default" w:ascii="宋体" w:hAnsi="宋体" w:eastAsia="宋体" w:cs="Times New Roman"/>
                <w:szCs w:val="21"/>
              </w:rPr>
            </w:pPr>
            <w:r>
              <w:rPr>
                <w:rFonts w:hint="eastAsia" w:ascii="宋体" w:hAnsi="宋体" w:eastAsia="宋体" w:cs="Times New Roman"/>
                <w:szCs w:val="21"/>
              </w:rPr>
              <w:t>赵洁婷</w:t>
            </w:r>
          </w:p>
        </w:tc>
        <w:tc>
          <w:tcPr>
            <w:tcW w:w="2023" w:type="dxa"/>
            <w:shd w:val="clear" w:color="auto" w:fill="auto"/>
            <w:vAlign w:val="center"/>
          </w:tcPr>
          <w:p w14:paraId="60872DD4">
            <w:pPr>
              <w:pStyle w:val="29"/>
              <w:keepNext w:val="0"/>
              <w:keepLines w:val="0"/>
              <w:widowControl w:val="0"/>
              <w:suppressLineNumbers w:val="0"/>
              <w:spacing w:before="0" w:beforeAutospacing="0" w:after="0" w:afterAutospacing="0"/>
              <w:ind w:left="0" w:right="0" w:firstLine="0" w:firstLineChars="0"/>
              <w:jc w:val="center"/>
              <w:rPr>
                <w:rFonts w:hint="default" w:ascii="宋体" w:hAnsi="宋体" w:eastAsia="宋体" w:cs="Times New Roman"/>
                <w:szCs w:val="21"/>
              </w:rPr>
            </w:pPr>
            <w:r>
              <w:rPr>
                <w:rFonts w:hint="eastAsia" w:ascii="宋体" w:hAnsi="宋体" w:eastAsia="宋体" w:cs="Times New Roman"/>
                <w:szCs w:val="21"/>
              </w:rPr>
              <w:t>交通运输部水运科学研究院</w:t>
            </w:r>
          </w:p>
        </w:tc>
        <w:tc>
          <w:tcPr>
            <w:tcW w:w="1288" w:type="dxa"/>
            <w:shd w:val="clear" w:color="auto" w:fill="auto"/>
            <w:vAlign w:val="center"/>
          </w:tcPr>
          <w:p w14:paraId="291DF151">
            <w:pPr>
              <w:pStyle w:val="29"/>
              <w:keepNext w:val="0"/>
              <w:keepLines w:val="0"/>
              <w:widowControl w:val="0"/>
              <w:suppressLineNumbers w:val="0"/>
              <w:spacing w:before="0" w:beforeAutospacing="0" w:after="0" w:afterAutospacing="0"/>
              <w:ind w:left="0" w:right="0" w:firstLine="0" w:firstLineChars="0"/>
              <w:jc w:val="center"/>
              <w:rPr>
                <w:rFonts w:hint="default" w:ascii="宋体" w:hAnsi="宋体" w:eastAsia="宋体" w:cs="Times New Roman"/>
                <w:szCs w:val="21"/>
              </w:rPr>
            </w:pPr>
            <w:r>
              <w:rPr>
                <w:rFonts w:hint="eastAsia" w:ascii="宋体" w:hAnsi="宋体" w:eastAsia="宋体" w:cs="Times New Roman"/>
                <w:szCs w:val="21"/>
              </w:rPr>
              <w:t>副研究员/室主任</w:t>
            </w:r>
          </w:p>
        </w:tc>
        <w:tc>
          <w:tcPr>
            <w:tcW w:w="4016" w:type="dxa"/>
            <w:shd w:val="clear" w:color="auto" w:fill="auto"/>
            <w:vAlign w:val="center"/>
          </w:tcPr>
          <w:p w14:paraId="7F49B8F8">
            <w:pPr>
              <w:pStyle w:val="29"/>
              <w:keepNext w:val="0"/>
              <w:keepLines w:val="0"/>
              <w:widowControl w:val="0"/>
              <w:suppressLineNumbers w:val="0"/>
              <w:spacing w:before="0" w:beforeAutospacing="0" w:after="0" w:afterAutospacing="0"/>
              <w:ind w:left="0" w:right="0" w:firstLine="0" w:firstLineChars="0"/>
              <w:rPr>
                <w:rFonts w:hint="default" w:ascii="宋体" w:hAnsi="宋体" w:eastAsia="宋体" w:cs="Times New Roman"/>
                <w:szCs w:val="21"/>
              </w:rPr>
            </w:pPr>
            <w:r>
              <w:rPr>
                <w:rFonts w:hint="eastAsia" w:ascii="宋体" w:hAnsi="宋体" w:eastAsia="宋体" w:cs="Times New Roman"/>
                <w:szCs w:val="21"/>
              </w:rPr>
              <w:t>参与标准第六章、第七章的编写工作，附录A、附录B的补充完善，并负责全文文本整理。</w:t>
            </w:r>
          </w:p>
        </w:tc>
      </w:tr>
      <w:tr w14:paraId="4510B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3" w:hRule="atLeast"/>
          <w:jc w:val="center"/>
        </w:trPr>
        <w:tc>
          <w:tcPr>
            <w:tcW w:w="1035" w:type="dxa"/>
            <w:shd w:val="clear" w:color="auto" w:fill="auto"/>
            <w:vAlign w:val="center"/>
          </w:tcPr>
          <w:p w14:paraId="4485DDD5">
            <w:pPr>
              <w:pStyle w:val="29"/>
              <w:keepNext w:val="0"/>
              <w:keepLines w:val="0"/>
              <w:widowControl w:val="0"/>
              <w:suppressLineNumbers w:val="0"/>
              <w:spacing w:before="0" w:beforeAutospacing="0" w:after="0" w:afterAutospacing="0"/>
              <w:ind w:left="0" w:right="0" w:firstLine="0" w:firstLineChars="0"/>
              <w:jc w:val="center"/>
              <w:rPr>
                <w:rFonts w:hint="eastAsia" w:ascii="宋体" w:hAnsi="宋体" w:eastAsia="宋体" w:cs="Times New Roman"/>
                <w:szCs w:val="21"/>
                <w:lang w:val="en-US" w:eastAsia="zh-CN"/>
              </w:rPr>
            </w:pPr>
            <w:r>
              <w:rPr>
                <w:rFonts w:hint="eastAsia" w:ascii="宋体" w:hAnsi="宋体" w:eastAsia="宋体" w:cs="Times New Roman"/>
                <w:szCs w:val="21"/>
              </w:rPr>
              <w:t>刘相超</w:t>
            </w:r>
          </w:p>
        </w:tc>
        <w:tc>
          <w:tcPr>
            <w:tcW w:w="2023" w:type="dxa"/>
            <w:shd w:val="clear" w:color="auto" w:fill="auto"/>
            <w:vAlign w:val="center"/>
          </w:tcPr>
          <w:p w14:paraId="3FEFF808">
            <w:pPr>
              <w:pStyle w:val="29"/>
              <w:keepNext w:val="0"/>
              <w:keepLines w:val="0"/>
              <w:widowControl w:val="0"/>
              <w:suppressLineNumbers w:val="0"/>
              <w:spacing w:before="0" w:beforeAutospacing="0" w:after="0" w:afterAutospacing="0"/>
              <w:ind w:left="0" w:right="0" w:firstLine="0" w:firstLineChars="0"/>
              <w:jc w:val="center"/>
              <w:rPr>
                <w:rFonts w:hint="eastAsia" w:ascii="宋体" w:hAnsi="宋体" w:eastAsia="宋体" w:cs="Times New Roman"/>
                <w:szCs w:val="21"/>
                <w:lang w:val="en-US" w:eastAsia="zh-CN"/>
              </w:rPr>
            </w:pPr>
            <w:r>
              <w:rPr>
                <w:rFonts w:hint="eastAsia" w:ascii="宋体" w:hAnsi="宋体" w:eastAsia="宋体" w:cs="Times New Roman"/>
                <w:szCs w:val="21"/>
              </w:rPr>
              <w:t>龙口滨港液体化工码头有限公司</w:t>
            </w:r>
          </w:p>
        </w:tc>
        <w:tc>
          <w:tcPr>
            <w:tcW w:w="1288" w:type="dxa"/>
            <w:shd w:val="clear" w:color="auto" w:fill="auto"/>
            <w:vAlign w:val="center"/>
          </w:tcPr>
          <w:p w14:paraId="5CD3082A">
            <w:pPr>
              <w:pStyle w:val="29"/>
              <w:keepNext w:val="0"/>
              <w:keepLines w:val="0"/>
              <w:widowControl w:val="0"/>
              <w:suppressLineNumbers w:val="0"/>
              <w:spacing w:before="0" w:beforeAutospacing="0" w:after="0" w:afterAutospacing="0"/>
              <w:ind w:left="0" w:right="0" w:firstLine="0" w:firstLineChars="0"/>
              <w:jc w:val="center"/>
              <w:rPr>
                <w:rFonts w:hint="eastAsia" w:ascii="宋体" w:hAnsi="宋体" w:eastAsia="宋体" w:cs="Times New Roman"/>
                <w:szCs w:val="21"/>
                <w:lang w:val="en-US" w:eastAsia="zh-CN"/>
              </w:rPr>
            </w:pPr>
            <w:r>
              <w:rPr>
                <w:rFonts w:hint="eastAsia" w:ascii="宋体" w:hAnsi="宋体" w:eastAsia="宋体" w:cs="Times New Roman"/>
                <w:szCs w:val="21"/>
              </w:rPr>
              <w:t>高工/安全总监</w:t>
            </w:r>
          </w:p>
        </w:tc>
        <w:tc>
          <w:tcPr>
            <w:tcW w:w="4016" w:type="dxa"/>
            <w:shd w:val="clear" w:color="auto" w:fill="auto"/>
            <w:vAlign w:val="center"/>
          </w:tcPr>
          <w:p w14:paraId="2E25FA0C">
            <w:pPr>
              <w:pStyle w:val="29"/>
              <w:keepNext w:val="0"/>
              <w:keepLines w:val="0"/>
              <w:widowControl w:val="0"/>
              <w:suppressLineNumbers w:val="0"/>
              <w:spacing w:before="0" w:beforeAutospacing="0" w:after="0" w:afterAutospacing="0"/>
              <w:ind w:left="0" w:right="0" w:firstLine="0" w:firstLineChars="0"/>
              <w:rPr>
                <w:rFonts w:hint="eastAsia" w:ascii="宋体" w:hAnsi="宋体" w:eastAsia="宋体" w:cs="Times New Roman"/>
                <w:szCs w:val="21"/>
              </w:rPr>
            </w:pPr>
            <w:r>
              <w:rPr>
                <w:rFonts w:hint="eastAsia" w:ascii="宋体" w:hAnsi="宋体" w:eastAsia="宋体" w:cs="Times New Roman"/>
                <w:szCs w:val="21"/>
              </w:rPr>
              <w:t>参与第六章、第七章的编写工作，附录A、附录B的补充完善，并负责全文文本整理。</w:t>
            </w:r>
          </w:p>
        </w:tc>
      </w:tr>
      <w:tr w14:paraId="7B21C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1" w:hRule="atLeast"/>
          <w:jc w:val="center"/>
        </w:trPr>
        <w:tc>
          <w:tcPr>
            <w:tcW w:w="1035" w:type="dxa"/>
            <w:shd w:val="clear" w:color="auto" w:fill="auto"/>
            <w:vAlign w:val="center"/>
          </w:tcPr>
          <w:p w14:paraId="191630E7">
            <w:pPr>
              <w:pStyle w:val="29"/>
              <w:keepNext w:val="0"/>
              <w:keepLines w:val="0"/>
              <w:widowControl w:val="0"/>
              <w:suppressLineNumbers w:val="0"/>
              <w:spacing w:before="0" w:beforeAutospacing="0" w:after="0" w:afterAutospacing="0"/>
              <w:ind w:left="0" w:right="0" w:firstLine="0" w:firstLineChars="0"/>
              <w:jc w:val="center"/>
              <w:rPr>
                <w:rFonts w:hint="eastAsia" w:ascii="宋体" w:hAnsi="宋体" w:eastAsia="宋体" w:cs="Times New Roman"/>
                <w:szCs w:val="21"/>
                <w:lang w:val="en-US" w:eastAsia="zh-CN"/>
              </w:rPr>
            </w:pPr>
            <w:r>
              <w:rPr>
                <w:rFonts w:hint="eastAsia" w:ascii="宋体" w:hAnsi="宋体" w:eastAsia="宋体" w:cs="Times New Roman"/>
                <w:szCs w:val="21"/>
              </w:rPr>
              <w:t>尹德朋</w:t>
            </w:r>
          </w:p>
        </w:tc>
        <w:tc>
          <w:tcPr>
            <w:tcW w:w="2023" w:type="dxa"/>
            <w:shd w:val="clear" w:color="auto" w:fill="auto"/>
            <w:vAlign w:val="center"/>
          </w:tcPr>
          <w:p w14:paraId="1E46600F">
            <w:pPr>
              <w:pStyle w:val="29"/>
              <w:keepNext w:val="0"/>
              <w:keepLines w:val="0"/>
              <w:widowControl w:val="0"/>
              <w:suppressLineNumbers w:val="0"/>
              <w:spacing w:before="0" w:beforeAutospacing="0" w:after="0" w:afterAutospacing="0"/>
              <w:ind w:left="0" w:right="0" w:firstLine="0" w:firstLineChars="0"/>
              <w:jc w:val="center"/>
              <w:rPr>
                <w:rFonts w:hint="eastAsia" w:ascii="宋体" w:hAnsi="宋体" w:eastAsia="宋体" w:cs="Times New Roman"/>
                <w:szCs w:val="21"/>
                <w:lang w:val="en-US" w:eastAsia="zh-CN"/>
              </w:rPr>
            </w:pPr>
            <w:r>
              <w:rPr>
                <w:rFonts w:hint="eastAsia" w:ascii="宋体" w:hAnsi="宋体" w:eastAsia="宋体" w:cs="Times New Roman"/>
                <w:szCs w:val="21"/>
              </w:rPr>
              <w:t>龙口滨港液体化工码头有限公司</w:t>
            </w:r>
          </w:p>
        </w:tc>
        <w:tc>
          <w:tcPr>
            <w:tcW w:w="1288" w:type="dxa"/>
            <w:shd w:val="clear" w:color="auto" w:fill="auto"/>
            <w:vAlign w:val="center"/>
          </w:tcPr>
          <w:p w14:paraId="3D23AC6E">
            <w:pPr>
              <w:pStyle w:val="29"/>
              <w:keepNext w:val="0"/>
              <w:keepLines w:val="0"/>
              <w:widowControl w:val="0"/>
              <w:suppressLineNumbers w:val="0"/>
              <w:spacing w:before="0" w:beforeAutospacing="0" w:after="0" w:afterAutospacing="0"/>
              <w:ind w:left="0" w:right="0" w:firstLine="0" w:firstLineChars="0"/>
              <w:jc w:val="center"/>
              <w:rPr>
                <w:rFonts w:hint="eastAsia" w:ascii="宋体" w:hAnsi="宋体" w:eastAsia="宋体" w:cs="Times New Roman"/>
                <w:szCs w:val="21"/>
                <w:lang w:val="en-US" w:eastAsia="zh-CN"/>
              </w:rPr>
            </w:pPr>
            <w:r>
              <w:rPr>
                <w:rFonts w:hint="eastAsia" w:ascii="宋体" w:hAnsi="宋体" w:eastAsia="宋体" w:cs="Times New Roman"/>
                <w:szCs w:val="21"/>
              </w:rPr>
              <w:t>工程师/主任</w:t>
            </w:r>
          </w:p>
        </w:tc>
        <w:tc>
          <w:tcPr>
            <w:tcW w:w="4016" w:type="dxa"/>
            <w:shd w:val="clear" w:color="auto" w:fill="auto"/>
            <w:vAlign w:val="center"/>
          </w:tcPr>
          <w:p w14:paraId="6B6E0C8E">
            <w:pPr>
              <w:pStyle w:val="29"/>
              <w:keepNext w:val="0"/>
              <w:keepLines w:val="0"/>
              <w:widowControl w:val="0"/>
              <w:suppressLineNumbers w:val="0"/>
              <w:spacing w:before="0" w:beforeAutospacing="0" w:after="0" w:afterAutospacing="0"/>
              <w:ind w:left="0" w:right="0" w:firstLine="0" w:firstLineChars="0"/>
              <w:rPr>
                <w:rFonts w:hint="eastAsia" w:ascii="宋体" w:hAnsi="宋体" w:eastAsia="宋体" w:cs="Times New Roman"/>
                <w:szCs w:val="21"/>
                <w:lang w:eastAsia="zh-CN"/>
              </w:rPr>
            </w:pPr>
            <w:r>
              <w:rPr>
                <w:rFonts w:hint="eastAsia" w:ascii="宋体" w:hAnsi="宋体" w:eastAsia="宋体" w:cs="Times New Roman"/>
                <w:szCs w:val="21"/>
              </w:rPr>
              <w:t>配合</w:t>
            </w:r>
            <w:r>
              <w:rPr>
                <w:rFonts w:hint="eastAsia" w:ascii="宋体" w:hAnsi="宋体" w:eastAsia="宋体" w:cs="Times New Roman"/>
                <w:szCs w:val="21"/>
                <w:lang w:val="en-US" w:eastAsia="zh-CN"/>
              </w:rPr>
              <w:t>组织</w:t>
            </w:r>
            <w:r>
              <w:rPr>
                <w:rFonts w:hint="default" w:ascii="宋体" w:hAnsi="宋体" w:eastAsia="宋体" w:cs="Times New Roman"/>
                <w:szCs w:val="21"/>
              </w:rPr>
              <w:t>标准的调研工作</w:t>
            </w:r>
            <w:r>
              <w:rPr>
                <w:rFonts w:hint="eastAsia" w:ascii="宋体" w:hAnsi="宋体" w:eastAsia="宋体" w:cs="Times New Roman"/>
                <w:szCs w:val="21"/>
                <w:lang w:eastAsia="zh-CN"/>
              </w:rPr>
              <w:t>，</w:t>
            </w:r>
            <w:r>
              <w:rPr>
                <w:rFonts w:hint="eastAsia" w:ascii="宋体" w:hAnsi="宋体" w:eastAsia="宋体" w:cs="Times New Roman"/>
                <w:szCs w:val="21"/>
              </w:rPr>
              <w:t>参与</w:t>
            </w:r>
            <w:r>
              <w:rPr>
                <w:rFonts w:hint="default" w:ascii="宋体" w:hAnsi="宋体" w:eastAsia="宋体" w:cs="Times New Roman"/>
                <w:szCs w:val="21"/>
              </w:rPr>
              <w:t>第四章、第五章的编写</w:t>
            </w:r>
            <w:r>
              <w:rPr>
                <w:rFonts w:hint="eastAsia" w:ascii="宋体" w:hAnsi="宋体" w:eastAsia="宋体" w:cs="Times New Roman"/>
                <w:szCs w:val="21"/>
                <w:lang w:eastAsia="zh-CN"/>
              </w:rPr>
              <w:t>。</w:t>
            </w:r>
          </w:p>
        </w:tc>
      </w:tr>
      <w:tr w14:paraId="1848E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6" w:hRule="atLeast"/>
          <w:jc w:val="center"/>
        </w:trPr>
        <w:tc>
          <w:tcPr>
            <w:tcW w:w="1035" w:type="dxa"/>
            <w:shd w:val="clear" w:color="auto" w:fill="auto"/>
            <w:vAlign w:val="center"/>
          </w:tcPr>
          <w:p w14:paraId="6BD87EFA">
            <w:pPr>
              <w:pStyle w:val="29"/>
              <w:keepNext w:val="0"/>
              <w:keepLines w:val="0"/>
              <w:widowControl w:val="0"/>
              <w:suppressLineNumbers w:val="0"/>
              <w:spacing w:before="0" w:beforeAutospacing="0" w:after="0" w:afterAutospacing="0"/>
              <w:ind w:left="0" w:right="0" w:firstLine="0" w:firstLineChars="0"/>
              <w:jc w:val="center"/>
              <w:rPr>
                <w:rFonts w:hint="eastAsia" w:ascii="宋体" w:hAnsi="宋体" w:eastAsia="宋体" w:cs="Times New Roman"/>
                <w:szCs w:val="21"/>
                <w:lang w:val="en-US" w:eastAsia="zh-CN"/>
              </w:rPr>
            </w:pPr>
            <w:r>
              <w:rPr>
                <w:rFonts w:hint="eastAsia" w:ascii="宋体" w:hAnsi="宋体" w:eastAsia="宋体" w:cs="Times New Roman"/>
                <w:szCs w:val="21"/>
              </w:rPr>
              <w:t>吕传龙</w:t>
            </w:r>
          </w:p>
        </w:tc>
        <w:tc>
          <w:tcPr>
            <w:tcW w:w="2023" w:type="dxa"/>
            <w:shd w:val="clear" w:color="auto" w:fill="auto"/>
            <w:vAlign w:val="center"/>
          </w:tcPr>
          <w:p w14:paraId="7D0BA998">
            <w:pPr>
              <w:pStyle w:val="29"/>
              <w:keepNext w:val="0"/>
              <w:keepLines w:val="0"/>
              <w:widowControl w:val="0"/>
              <w:suppressLineNumbers w:val="0"/>
              <w:spacing w:before="0" w:beforeAutospacing="0" w:after="0" w:afterAutospacing="0"/>
              <w:ind w:left="0" w:right="0" w:firstLine="0" w:firstLineChars="0"/>
              <w:jc w:val="center"/>
              <w:rPr>
                <w:rFonts w:hint="eastAsia" w:ascii="宋体" w:hAnsi="宋体" w:eastAsia="宋体" w:cs="Times New Roman"/>
                <w:szCs w:val="21"/>
                <w:lang w:val="en-US" w:eastAsia="zh-CN"/>
              </w:rPr>
            </w:pPr>
            <w:r>
              <w:rPr>
                <w:rFonts w:hint="eastAsia" w:ascii="宋体" w:hAnsi="宋体" w:eastAsia="宋体" w:cs="Times New Roman"/>
                <w:szCs w:val="21"/>
              </w:rPr>
              <w:t>龙口港集团有限公司</w:t>
            </w:r>
          </w:p>
        </w:tc>
        <w:tc>
          <w:tcPr>
            <w:tcW w:w="1288" w:type="dxa"/>
            <w:shd w:val="clear" w:color="auto" w:fill="auto"/>
            <w:vAlign w:val="center"/>
          </w:tcPr>
          <w:p w14:paraId="3C54CAA8">
            <w:pPr>
              <w:pStyle w:val="29"/>
              <w:keepNext w:val="0"/>
              <w:keepLines w:val="0"/>
              <w:widowControl w:val="0"/>
              <w:suppressLineNumbers w:val="0"/>
              <w:spacing w:before="0" w:beforeAutospacing="0" w:after="0" w:afterAutospacing="0"/>
              <w:ind w:left="0" w:right="0" w:firstLine="0" w:firstLineChars="0"/>
              <w:jc w:val="center"/>
              <w:rPr>
                <w:rFonts w:hint="eastAsia" w:ascii="宋体" w:hAnsi="宋体" w:eastAsia="宋体" w:cs="Times New Roman"/>
                <w:szCs w:val="21"/>
                <w:lang w:val="en-US" w:eastAsia="zh-CN"/>
              </w:rPr>
            </w:pPr>
            <w:r>
              <w:rPr>
                <w:rFonts w:hint="eastAsia" w:ascii="宋体" w:hAnsi="宋体" w:eastAsia="宋体" w:cs="Times New Roman"/>
                <w:szCs w:val="21"/>
              </w:rPr>
              <w:t>高工/主任</w:t>
            </w:r>
          </w:p>
        </w:tc>
        <w:tc>
          <w:tcPr>
            <w:tcW w:w="4016" w:type="dxa"/>
            <w:shd w:val="clear" w:color="auto" w:fill="auto"/>
            <w:vAlign w:val="center"/>
          </w:tcPr>
          <w:p w14:paraId="2EED6EFD">
            <w:pPr>
              <w:pStyle w:val="29"/>
              <w:keepNext w:val="0"/>
              <w:keepLines w:val="0"/>
              <w:widowControl w:val="0"/>
              <w:suppressLineNumbers w:val="0"/>
              <w:spacing w:before="0" w:beforeAutospacing="0" w:after="0" w:afterAutospacing="0"/>
              <w:ind w:left="0" w:right="0" w:firstLine="0" w:firstLineChars="0"/>
              <w:rPr>
                <w:rFonts w:hint="eastAsia" w:ascii="宋体" w:hAnsi="宋体" w:eastAsia="宋体" w:cs="Times New Roman"/>
                <w:sz w:val="21"/>
                <w:szCs w:val="21"/>
                <w:lang w:val="en-US" w:eastAsia="zh-CN" w:bidi="ar-SA"/>
              </w:rPr>
            </w:pPr>
            <w:r>
              <w:rPr>
                <w:rFonts w:hint="eastAsia" w:ascii="宋体" w:hAnsi="宋体" w:eastAsia="宋体" w:cs="Times New Roman"/>
                <w:szCs w:val="21"/>
              </w:rPr>
              <w:t>配合</w:t>
            </w:r>
            <w:r>
              <w:rPr>
                <w:rFonts w:hint="eastAsia" w:ascii="宋体" w:hAnsi="宋体" w:eastAsia="宋体" w:cs="Times New Roman"/>
                <w:szCs w:val="21"/>
                <w:lang w:val="en-US" w:eastAsia="zh-CN"/>
              </w:rPr>
              <w:t>组织</w:t>
            </w:r>
            <w:r>
              <w:rPr>
                <w:rFonts w:hint="default" w:ascii="宋体" w:hAnsi="宋体" w:eastAsia="宋体" w:cs="Times New Roman"/>
                <w:szCs w:val="21"/>
              </w:rPr>
              <w:t>标准的调研工作</w:t>
            </w:r>
            <w:r>
              <w:rPr>
                <w:rFonts w:hint="eastAsia" w:ascii="宋体" w:hAnsi="宋体" w:eastAsia="宋体" w:cs="Times New Roman"/>
                <w:szCs w:val="21"/>
                <w:lang w:eastAsia="zh-CN"/>
              </w:rPr>
              <w:t>，</w:t>
            </w:r>
            <w:r>
              <w:rPr>
                <w:rFonts w:hint="eastAsia" w:ascii="宋体" w:hAnsi="宋体" w:eastAsia="宋体" w:cs="Times New Roman"/>
                <w:szCs w:val="21"/>
              </w:rPr>
              <w:t>参与</w:t>
            </w:r>
            <w:r>
              <w:rPr>
                <w:rFonts w:hint="default" w:ascii="宋体" w:hAnsi="宋体" w:eastAsia="宋体" w:cs="Times New Roman"/>
                <w:szCs w:val="21"/>
              </w:rPr>
              <w:t>第四章、第五章的编写</w:t>
            </w:r>
            <w:r>
              <w:rPr>
                <w:rFonts w:hint="eastAsia" w:ascii="宋体" w:hAnsi="宋体" w:eastAsia="宋体" w:cs="Times New Roman"/>
                <w:szCs w:val="21"/>
                <w:lang w:eastAsia="zh-CN"/>
              </w:rPr>
              <w:t>。</w:t>
            </w:r>
          </w:p>
        </w:tc>
      </w:tr>
    </w:tbl>
    <w:p w14:paraId="40AA021A">
      <w:pPr>
        <w:tabs>
          <w:tab w:val="left" w:pos="3220"/>
        </w:tabs>
        <w:spacing w:line="360" w:lineRule="auto"/>
        <w:ind w:firstLine="480" w:firstLineChars="200"/>
        <w:rPr>
          <w:rFonts w:hint="eastAsia" w:eastAsiaTheme="minorEastAsia"/>
          <w:sz w:val="24"/>
          <w:lang w:val="en-US" w:eastAsia="zh-CN"/>
        </w:rPr>
      </w:pPr>
    </w:p>
    <w:p w14:paraId="57B8ECAD">
      <w:pPr>
        <w:pStyle w:val="2"/>
        <w:spacing w:before="0" w:after="0" w:line="360" w:lineRule="auto"/>
        <w:ind w:firstLine="480" w:firstLineChars="200"/>
        <w:rPr>
          <w:rFonts w:eastAsiaTheme="minorEastAsia"/>
          <w:sz w:val="24"/>
          <w:szCs w:val="24"/>
        </w:rPr>
      </w:pPr>
      <w:bookmarkStart w:id="7" w:name="_Toc31424"/>
      <w:bookmarkStart w:id="8" w:name="_Toc196322267"/>
      <w:bookmarkStart w:id="9" w:name="_Toc23940"/>
      <w:bookmarkStart w:id="10" w:name="_Toc2125"/>
      <w:bookmarkStart w:id="11" w:name="_Toc8437"/>
      <w:r>
        <w:rPr>
          <w:rFonts w:hint="eastAsia" w:eastAsiaTheme="minorEastAsia"/>
          <w:sz w:val="24"/>
          <w:szCs w:val="24"/>
        </w:rPr>
        <w:t>二、国家标准编制原则、主要内容及其确定依据</w:t>
      </w:r>
      <w:bookmarkEnd w:id="7"/>
      <w:bookmarkEnd w:id="8"/>
      <w:bookmarkEnd w:id="9"/>
      <w:bookmarkEnd w:id="10"/>
      <w:bookmarkEnd w:id="11"/>
    </w:p>
    <w:p w14:paraId="3F7A8B51">
      <w:pPr>
        <w:spacing w:line="360" w:lineRule="auto"/>
        <w:ind w:firstLine="480" w:firstLineChars="200"/>
        <w:outlineLvl w:val="1"/>
        <w:rPr>
          <w:rFonts w:hint="eastAsia" w:ascii="Times New Roman" w:hAnsi="Times New Roman" w:cs="Times New Roman" w:eastAsiaTheme="minorEastAsia"/>
          <w:b/>
          <w:sz w:val="24"/>
        </w:rPr>
      </w:pPr>
      <w:r>
        <w:rPr>
          <w:rFonts w:hint="eastAsia" w:ascii="Times New Roman" w:hAnsi="Times New Roman" w:cs="Times New Roman" w:eastAsiaTheme="minorEastAsia"/>
          <w:b/>
          <w:sz w:val="24"/>
        </w:rPr>
        <w:t>（一）标准编制原则</w:t>
      </w:r>
    </w:p>
    <w:p w14:paraId="05AAE681">
      <w:pPr>
        <w:widowControl/>
        <w:tabs>
          <w:tab w:val="center" w:pos="4201"/>
          <w:tab w:val="right" w:leader="dot" w:pos="9298"/>
        </w:tabs>
        <w:autoSpaceDE w:val="0"/>
        <w:autoSpaceDN w:val="0"/>
        <w:spacing w:beforeLines="50" w:line="360" w:lineRule="auto"/>
        <w:ind w:firstLine="480" w:firstLineChars="200"/>
        <w:rPr>
          <w:sz w:val="24"/>
        </w:rPr>
      </w:pPr>
      <w:r>
        <w:rPr>
          <w:sz w:val="24"/>
        </w:rPr>
        <w:t>在标准修订过程中，本着以下原则对标准进行了起草：</w:t>
      </w:r>
    </w:p>
    <w:p w14:paraId="785FE6F4">
      <w:pPr>
        <w:numPr>
          <w:ilvl w:val="0"/>
          <w:numId w:val="5"/>
        </w:numPr>
        <w:spacing w:line="360" w:lineRule="auto"/>
        <w:ind w:hanging="5"/>
        <w:rPr>
          <w:rFonts w:eastAsiaTheme="minorEastAsia"/>
          <w:b/>
          <w:bCs/>
          <w:sz w:val="24"/>
        </w:rPr>
      </w:pPr>
      <w:r>
        <w:rPr>
          <w:rFonts w:hint="eastAsia" w:eastAsiaTheme="minorEastAsia"/>
          <w:b/>
          <w:bCs/>
          <w:sz w:val="24"/>
        </w:rPr>
        <w:t>规范性</w:t>
      </w:r>
    </w:p>
    <w:p w14:paraId="70356FDD">
      <w:pPr>
        <w:spacing w:line="360" w:lineRule="auto"/>
        <w:ind w:firstLine="480" w:firstLineChars="200"/>
        <w:rPr>
          <w:rFonts w:eastAsiaTheme="minorEastAsia"/>
          <w:b/>
          <w:bCs/>
          <w:sz w:val="24"/>
        </w:rPr>
      </w:pPr>
      <w:r>
        <w:rPr>
          <w:rFonts w:hint="eastAsia" w:eastAsiaTheme="minorEastAsia"/>
          <w:sz w:val="24"/>
        </w:rPr>
        <w:t xml:space="preserve">本标准按照 </w:t>
      </w:r>
      <w:r>
        <w:rPr>
          <w:rFonts w:eastAsiaTheme="minorEastAsia"/>
          <w:sz w:val="24"/>
        </w:rPr>
        <w:t>GB/T 1.1—2020</w:t>
      </w:r>
      <w:r>
        <w:rPr>
          <w:rFonts w:hint="eastAsia" w:eastAsiaTheme="minorEastAsia"/>
          <w:sz w:val="24"/>
        </w:rPr>
        <w:t xml:space="preserve">《标准化工作导则 第 </w:t>
      </w:r>
      <w:r>
        <w:rPr>
          <w:rFonts w:eastAsiaTheme="minorEastAsia"/>
          <w:sz w:val="24"/>
        </w:rPr>
        <w:t xml:space="preserve">1 </w:t>
      </w:r>
      <w:r>
        <w:rPr>
          <w:rFonts w:hint="eastAsia" w:eastAsiaTheme="minorEastAsia"/>
          <w:sz w:val="24"/>
        </w:rPr>
        <w:t>部分：标准化文件的结构和起草规则》中的原则要求编制。根据标准编写规则的要求，使标准的结构、文体、术语等方面协调统一。</w:t>
      </w:r>
    </w:p>
    <w:p w14:paraId="664FC9C0">
      <w:pPr>
        <w:numPr>
          <w:ilvl w:val="0"/>
          <w:numId w:val="5"/>
        </w:numPr>
        <w:spacing w:line="360" w:lineRule="auto"/>
        <w:ind w:hanging="5"/>
        <w:rPr>
          <w:rFonts w:hint="eastAsia" w:ascii="Times New Roman" w:hAnsi="Times New Roman" w:cs="Times New Roman" w:eastAsiaTheme="minorEastAsia"/>
          <w:b/>
          <w:bCs/>
          <w:sz w:val="24"/>
        </w:rPr>
      </w:pPr>
      <w:r>
        <w:rPr>
          <w:rFonts w:hint="eastAsia" w:ascii="Times New Roman" w:hAnsi="Times New Roman" w:cs="Times New Roman" w:eastAsiaTheme="minorEastAsia"/>
          <w:b/>
          <w:bCs/>
          <w:sz w:val="24"/>
        </w:rPr>
        <w:t>科学性原则</w:t>
      </w:r>
    </w:p>
    <w:p w14:paraId="1A2F3468">
      <w:pPr>
        <w:widowControl/>
        <w:tabs>
          <w:tab w:val="center" w:pos="4201"/>
          <w:tab w:val="right" w:leader="dot" w:pos="9298"/>
        </w:tabs>
        <w:autoSpaceDE w:val="0"/>
        <w:autoSpaceDN w:val="0"/>
        <w:spacing w:line="360" w:lineRule="auto"/>
        <w:ind w:firstLine="480" w:firstLineChars="200"/>
        <w:rPr>
          <w:rFonts w:hint="eastAsia" w:ascii="宋体" w:hAnsi="宋体"/>
          <w:sz w:val="24"/>
        </w:rPr>
      </w:pPr>
      <w:r>
        <w:rPr>
          <w:rFonts w:hint="eastAsia" w:ascii="宋体" w:hAnsi="宋体"/>
          <w:sz w:val="24"/>
        </w:rPr>
        <w:t>标准编制过程中</w:t>
      </w:r>
      <w:r>
        <w:rPr>
          <w:rFonts w:hint="eastAsia" w:eastAsiaTheme="minorEastAsia"/>
          <w:sz w:val="24"/>
        </w:rPr>
        <w:t>编制过程中系统开展行业调研与技术论证工作，</w:t>
      </w:r>
      <w:r>
        <w:rPr>
          <w:rFonts w:hint="eastAsia" w:eastAsiaTheme="minorEastAsia"/>
          <w:sz w:val="24"/>
          <w:lang w:val="en-US" w:eastAsia="zh-CN"/>
        </w:rPr>
        <w:t>并</w:t>
      </w:r>
      <w:r>
        <w:rPr>
          <w:rFonts w:hint="eastAsia" w:ascii="宋体" w:hAnsi="宋体"/>
          <w:sz w:val="24"/>
        </w:rPr>
        <w:t>广泛征求设备设计单位、生产企业以及港口用户等单位及行业内专家的意见和建议</w:t>
      </w:r>
      <w:r>
        <w:rPr>
          <w:rFonts w:hint="eastAsia" w:eastAsiaTheme="minorEastAsia"/>
          <w:sz w:val="24"/>
        </w:rPr>
        <w:t>，确保标准技术要求的科学合理性、数据准确性和实施可操作性</w:t>
      </w:r>
      <w:r>
        <w:rPr>
          <w:rFonts w:hint="eastAsia" w:ascii="宋体" w:hAnsi="宋体"/>
          <w:sz w:val="24"/>
        </w:rPr>
        <w:t>。</w:t>
      </w:r>
    </w:p>
    <w:p w14:paraId="420DFA23">
      <w:pPr>
        <w:numPr>
          <w:ilvl w:val="0"/>
          <w:numId w:val="5"/>
        </w:numPr>
        <w:spacing w:line="360" w:lineRule="auto"/>
        <w:ind w:hanging="5"/>
        <w:rPr>
          <w:rFonts w:ascii="Times New Roman" w:hAnsi="Times New Roman" w:cs="Times New Roman" w:eastAsiaTheme="minorEastAsia"/>
          <w:b/>
          <w:bCs/>
          <w:sz w:val="24"/>
        </w:rPr>
      </w:pPr>
      <w:r>
        <w:rPr>
          <w:rFonts w:hint="eastAsia" w:ascii="Times New Roman" w:hAnsi="Times New Roman" w:cs="Times New Roman" w:eastAsiaTheme="minorEastAsia"/>
          <w:b/>
          <w:bCs/>
          <w:sz w:val="24"/>
        </w:rPr>
        <w:t>兼容性原则</w:t>
      </w:r>
    </w:p>
    <w:p w14:paraId="144BB653">
      <w:pPr>
        <w:widowControl/>
        <w:tabs>
          <w:tab w:val="center" w:pos="4201"/>
          <w:tab w:val="right" w:leader="dot" w:pos="9298"/>
        </w:tabs>
        <w:autoSpaceDE w:val="0"/>
        <w:autoSpaceDN w:val="0"/>
        <w:spacing w:line="360" w:lineRule="auto"/>
        <w:ind w:firstLine="480" w:firstLineChars="200"/>
        <w:rPr>
          <w:sz w:val="24"/>
        </w:rPr>
      </w:pPr>
      <w:r>
        <w:rPr>
          <w:rFonts w:hint="eastAsia"/>
          <w:sz w:val="24"/>
        </w:rPr>
        <w:t>标准的制定与近年来出台的相关政策、法规以及新技术紧密结合，增强关联性和适用性。标准编制的原则、思路和方法与相关的现行标准良好衔接。</w:t>
      </w:r>
    </w:p>
    <w:p w14:paraId="78853264">
      <w:pPr>
        <w:numPr>
          <w:ilvl w:val="0"/>
          <w:numId w:val="5"/>
        </w:numPr>
        <w:spacing w:line="360" w:lineRule="auto"/>
        <w:ind w:hanging="5"/>
        <w:rPr>
          <w:rFonts w:ascii="Times New Roman" w:hAnsi="Times New Roman" w:cs="Times New Roman" w:eastAsiaTheme="minorEastAsia"/>
          <w:b/>
          <w:bCs/>
          <w:sz w:val="24"/>
        </w:rPr>
      </w:pPr>
      <w:r>
        <w:rPr>
          <w:rFonts w:hint="eastAsia" w:ascii="Times New Roman" w:hAnsi="Times New Roman" w:cs="Times New Roman" w:eastAsiaTheme="minorEastAsia"/>
          <w:b/>
          <w:bCs/>
          <w:sz w:val="24"/>
        </w:rPr>
        <w:t>可操作性原则</w:t>
      </w:r>
    </w:p>
    <w:p w14:paraId="0E980449">
      <w:pPr>
        <w:widowControl/>
        <w:tabs>
          <w:tab w:val="center" w:pos="4201"/>
          <w:tab w:val="right" w:leader="dot" w:pos="9298"/>
        </w:tabs>
        <w:autoSpaceDE w:val="0"/>
        <w:autoSpaceDN w:val="0"/>
        <w:spacing w:line="360" w:lineRule="auto"/>
        <w:ind w:firstLine="480" w:firstLineChars="200"/>
        <w:rPr>
          <w:sz w:val="24"/>
        </w:rPr>
      </w:pPr>
      <w:r>
        <w:rPr>
          <w:rFonts w:hint="eastAsia"/>
          <w:sz w:val="24"/>
        </w:rPr>
        <w:t>在企业多年液体散货码头装卸臂保养操作实践的基础上，参考国内外与取料机内容相关的政策法规、标准规范及有关技术资料，充分考虑</w:t>
      </w:r>
      <w:r>
        <w:rPr>
          <w:rFonts w:hint="eastAsia" w:ascii="Times New Roman" w:hAnsi="Times New Roman" w:eastAsia="宋体" w:cs="Times New Roman"/>
          <w:sz w:val="24"/>
          <w:szCs w:val="22"/>
          <w:highlight w:val="none"/>
          <w:lang w:val="en-US" w:eastAsia="zh-CN"/>
        </w:rPr>
        <w:t>液体散货码头装卸臂</w:t>
      </w:r>
      <w:r>
        <w:rPr>
          <w:rFonts w:hint="eastAsia"/>
          <w:sz w:val="24"/>
        </w:rPr>
        <w:t>结构特征</w:t>
      </w:r>
      <w:r>
        <w:rPr>
          <w:rFonts w:hint="eastAsia"/>
          <w:sz w:val="24"/>
          <w:lang w:val="en-US" w:eastAsia="zh-CN"/>
        </w:rPr>
        <w:t>、</w:t>
      </w:r>
      <w:r>
        <w:rPr>
          <w:rFonts w:hint="eastAsia"/>
          <w:sz w:val="24"/>
        </w:rPr>
        <w:t>作业特点，提出</w:t>
      </w:r>
      <w:r>
        <w:rPr>
          <w:rFonts w:hint="eastAsia" w:ascii="Times New Roman" w:hAnsi="Times New Roman" w:eastAsia="宋体" w:cs="Times New Roman"/>
          <w:sz w:val="24"/>
          <w:szCs w:val="22"/>
          <w:highlight w:val="none"/>
          <w:lang w:val="en-US" w:eastAsia="zh-CN"/>
        </w:rPr>
        <w:t>液体散货码头装卸臂保养的技术要求</w:t>
      </w:r>
      <w:r>
        <w:rPr>
          <w:rFonts w:hint="eastAsia"/>
          <w:sz w:val="24"/>
        </w:rPr>
        <w:t>。</w:t>
      </w:r>
    </w:p>
    <w:p w14:paraId="2D248639">
      <w:pPr>
        <w:spacing w:line="360" w:lineRule="auto"/>
        <w:ind w:firstLine="480" w:firstLineChars="200"/>
        <w:outlineLvl w:val="1"/>
        <w:rPr>
          <w:rFonts w:hint="eastAsia" w:ascii="Times New Roman" w:hAnsi="Times New Roman" w:cs="Times New Roman" w:eastAsiaTheme="minorEastAsia"/>
          <w:b/>
          <w:sz w:val="24"/>
        </w:rPr>
      </w:pPr>
      <w:r>
        <w:rPr>
          <w:rFonts w:hint="eastAsia" w:ascii="Times New Roman" w:hAnsi="Times New Roman" w:cs="Times New Roman" w:eastAsiaTheme="minorEastAsia"/>
          <w:b/>
          <w:sz w:val="24"/>
        </w:rPr>
        <w:t>（二）确定标准主要内容的依据</w:t>
      </w:r>
    </w:p>
    <w:p w14:paraId="621EC3B3">
      <w:pPr>
        <w:pStyle w:val="45"/>
        <w:keepNext w:val="0"/>
        <w:keepLines w:val="0"/>
        <w:pageBreakBefore w:val="0"/>
        <w:widowControl w:val="0"/>
        <w:numPr>
          <w:ilvl w:val="0"/>
          <w:numId w:val="6"/>
        </w:numPr>
        <w:kinsoku/>
        <w:wordWrap/>
        <w:overflowPunct/>
        <w:topLinePunct w:val="0"/>
        <w:autoSpaceDE w:val="0"/>
        <w:autoSpaceDN w:val="0"/>
        <w:bidi w:val="0"/>
        <w:adjustRightInd w:val="0"/>
        <w:snapToGrid/>
        <w:spacing w:line="360" w:lineRule="auto"/>
        <w:ind w:left="0" w:leftChars="0" w:firstLine="480" w:firstLineChars="200"/>
        <w:textAlignment w:val="auto"/>
        <w:outlineLvl w:val="2"/>
        <w:rPr>
          <w:rFonts w:asciiTheme="minorEastAsia" w:hAnsiTheme="minorEastAsia" w:eastAsiaTheme="minorEastAsia"/>
          <w:b/>
          <w:color w:val="auto"/>
          <w:kern w:val="2"/>
        </w:rPr>
      </w:pPr>
      <w:r>
        <w:rPr>
          <w:rFonts w:hint="eastAsia" w:asciiTheme="minorEastAsia" w:hAnsiTheme="minorEastAsia" w:eastAsiaTheme="minorEastAsia"/>
          <w:b/>
          <w:color w:val="auto"/>
          <w:kern w:val="2"/>
          <w:lang w:val="en-US" w:eastAsia="zh-CN"/>
        </w:rPr>
        <w:t>标准名称</w:t>
      </w:r>
    </w:p>
    <w:p w14:paraId="5DB180F8">
      <w:pPr>
        <w:pStyle w:val="45"/>
        <w:keepNext w:val="0"/>
        <w:keepLines w:val="0"/>
        <w:pageBreakBefore w:val="0"/>
        <w:widowControl/>
        <w:numPr>
          <w:ilvl w:val="-1"/>
          <w:numId w:val="0"/>
        </w:numPr>
        <w:kinsoku/>
        <w:wordWrap/>
        <w:overflowPunct/>
        <w:topLinePunct w:val="0"/>
        <w:autoSpaceDE/>
        <w:autoSpaceDN/>
        <w:bidi w:val="0"/>
        <w:adjustRightInd/>
        <w:snapToGrid/>
        <w:spacing w:line="360" w:lineRule="auto"/>
        <w:ind w:left="0" w:leftChars="0" w:firstLine="481" w:firstLineChars="0"/>
        <w:textAlignment w:val="auto"/>
        <w:outlineLvl w:val="9"/>
        <w:rPr>
          <w:rFonts w:hint="eastAsia" w:asciiTheme="minorEastAsia" w:hAnsiTheme="minorEastAsia" w:eastAsiaTheme="minorEastAsia"/>
          <w:b w:val="0"/>
          <w:color w:val="000000"/>
          <w:kern w:val="0"/>
          <w:lang w:val="en-US"/>
        </w:rPr>
      </w:pPr>
      <w:r>
        <w:rPr>
          <w:rFonts w:hint="eastAsia" w:cs="Times New Roman" w:asciiTheme="minorEastAsia" w:hAnsiTheme="minorEastAsia" w:eastAsiaTheme="minorEastAsia"/>
          <w:color w:val="000000"/>
          <w:kern w:val="0"/>
          <w:sz w:val="24"/>
          <w:szCs w:val="24"/>
          <w:lang w:val="en-US" w:eastAsia="zh-CN" w:bidi="ar-SA"/>
        </w:rPr>
        <w:t>根据标准技术内容和范围，按照工作大纲评审会意见，标准名称修改为</w:t>
      </w:r>
      <w:r>
        <w:rPr>
          <w:rFonts w:hint="eastAsia" w:cs="Times New Roman" w:asciiTheme="minorEastAsia" w:hAnsiTheme="minorEastAsia" w:eastAsiaTheme="minorEastAsia"/>
          <w:sz w:val="24"/>
          <w:lang w:eastAsia="zh-CN"/>
        </w:rPr>
        <w:t>《</w:t>
      </w:r>
      <w:r>
        <w:rPr>
          <w:rFonts w:hint="eastAsia" w:cs="Times New Roman" w:asciiTheme="minorEastAsia" w:hAnsiTheme="minorEastAsia" w:eastAsiaTheme="minorEastAsia"/>
          <w:sz w:val="24"/>
        </w:rPr>
        <w:t>液体散货码头装卸臂保养技术要求</w:t>
      </w:r>
      <w:r>
        <w:rPr>
          <w:rFonts w:hint="eastAsia" w:cs="Times New Roman" w:asciiTheme="minorEastAsia" w:hAnsiTheme="minorEastAsia" w:eastAsiaTheme="minorEastAsia"/>
          <w:sz w:val="24"/>
          <w:lang w:eastAsia="zh-CN"/>
        </w:rPr>
        <w:t>》。</w:t>
      </w:r>
    </w:p>
    <w:p w14:paraId="7746B932">
      <w:pPr>
        <w:pStyle w:val="45"/>
        <w:keepNext w:val="0"/>
        <w:keepLines w:val="0"/>
        <w:pageBreakBefore w:val="0"/>
        <w:widowControl w:val="0"/>
        <w:numPr>
          <w:ilvl w:val="0"/>
          <w:numId w:val="6"/>
        </w:numPr>
        <w:kinsoku/>
        <w:wordWrap/>
        <w:overflowPunct/>
        <w:topLinePunct w:val="0"/>
        <w:autoSpaceDE w:val="0"/>
        <w:autoSpaceDN w:val="0"/>
        <w:bidi w:val="0"/>
        <w:adjustRightInd w:val="0"/>
        <w:snapToGrid/>
        <w:spacing w:line="360" w:lineRule="auto"/>
        <w:ind w:left="0" w:leftChars="0" w:firstLine="480" w:firstLineChars="200"/>
        <w:textAlignment w:val="auto"/>
        <w:outlineLvl w:val="2"/>
        <w:rPr>
          <w:rFonts w:asciiTheme="minorEastAsia" w:hAnsiTheme="minorEastAsia" w:eastAsiaTheme="minorEastAsia"/>
          <w:b/>
          <w:color w:val="auto"/>
          <w:kern w:val="2"/>
        </w:rPr>
      </w:pPr>
      <w:r>
        <w:rPr>
          <w:rFonts w:hint="eastAsia" w:asciiTheme="minorEastAsia" w:hAnsiTheme="minorEastAsia" w:eastAsiaTheme="minorEastAsia"/>
          <w:b/>
          <w:color w:val="auto"/>
          <w:kern w:val="2"/>
          <w:lang w:val="en-US" w:eastAsia="zh-CN"/>
        </w:rPr>
        <w:t xml:space="preserve">第1章 </w:t>
      </w:r>
      <w:r>
        <w:rPr>
          <w:rFonts w:hint="eastAsia" w:asciiTheme="minorEastAsia" w:hAnsiTheme="minorEastAsia" w:eastAsiaTheme="minorEastAsia"/>
          <w:b/>
          <w:color w:val="auto"/>
          <w:kern w:val="2"/>
        </w:rPr>
        <w:t>范围</w:t>
      </w:r>
    </w:p>
    <w:p w14:paraId="33816193">
      <w:pPr>
        <w:pStyle w:val="45"/>
        <w:spacing w:line="360" w:lineRule="auto"/>
        <w:ind w:firstLine="481"/>
        <w:rPr>
          <w:rFonts w:hint="eastAsia" w:asciiTheme="minorEastAsia" w:hAnsiTheme="minorEastAsia" w:eastAsiaTheme="minorEastAsia"/>
        </w:rPr>
      </w:pPr>
      <w:r>
        <w:rPr>
          <w:rFonts w:hint="eastAsia" w:asciiTheme="minorEastAsia" w:hAnsiTheme="minorEastAsia" w:eastAsiaTheme="minorEastAsia"/>
        </w:rPr>
        <w:t>本文件规定了液体散货码头装卸臂</w:t>
      </w:r>
      <w:r>
        <w:rPr>
          <w:rFonts w:hint="eastAsia" w:cs="Times New Roman"/>
          <w:lang w:val="en-US" w:eastAsia="zh-CN"/>
        </w:rPr>
        <w:t>（以下简称“装卸臂”）</w:t>
      </w:r>
      <w:r>
        <w:rPr>
          <w:rFonts w:hint="eastAsia" w:asciiTheme="minorEastAsia" w:hAnsiTheme="minorEastAsia" w:eastAsiaTheme="minorEastAsia"/>
        </w:rPr>
        <w:t>的一般要求、保养周期</w:t>
      </w:r>
      <w:r>
        <w:rPr>
          <w:rFonts w:hint="eastAsia" w:asciiTheme="minorEastAsia" w:hAnsiTheme="minorEastAsia" w:eastAsiaTheme="minorEastAsia"/>
          <w:lang w:eastAsia="zh-CN"/>
        </w:rPr>
        <w:t>、</w:t>
      </w:r>
      <w:r>
        <w:rPr>
          <w:rFonts w:hint="eastAsia" w:asciiTheme="minorEastAsia" w:hAnsiTheme="minorEastAsia" w:eastAsiaTheme="minorEastAsia"/>
          <w:lang w:val="en-US" w:eastAsia="zh-CN"/>
        </w:rPr>
        <w:t>保养内容与方法、</w:t>
      </w:r>
      <w:r>
        <w:rPr>
          <w:rFonts w:hint="eastAsia" w:asciiTheme="minorEastAsia" w:hAnsiTheme="minorEastAsia" w:eastAsiaTheme="minorEastAsia"/>
        </w:rPr>
        <w:t>保养记录等</w:t>
      </w:r>
      <w:r>
        <w:rPr>
          <w:rFonts w:hint="eastAsia" w:asciiTheme="minorEastAsia" w:hAnsiTheme="minorEastAsia" w:eastAsiaTheme="minorEastAsia"/>
          <w:lang w:eastAsia="zh-CN"/>
        </w:rPr>
        <w:t>。</w:t>
      </w:r>
      <w:r>
        <w:rPr>
          <w:rFonts w:hint="eastAsia" w:asciiTheme="minorEastAsia" w:hAnsiTheme="minorEastAsia" w:eastAsiaTheme="minorEastAsia"/>
        </w:rPr>
        <w:t>适用于液压式液体散货码头装卸臂的检查与保养。</w:t>
      </w:r>
    </w:p>
    <w:p w14:paraId="27A010CE">
      <w:pPr>
        <w:pStyle w:val="45"/>
        <w:keepNext w:val="0"/>
        <w:keepLines w:val="0"/>
        <w:pageBreakBefore w:val="0"/>
        <w:widowControl w:val="0"/>
        <w:numPr>
          <w:ilvl w:val="0"/>
          <w:numId w:val="6"/>
        </w:numPr>
        <w:kinsoku/>
        <w:wordWrap/>
        <w:overflowPunct/>
        <w:topLinePunct w:val="0"/>
        <w:autoSpaceDE w:val="0"/>
        <w:autoSpaceDN w:val="0"/>
        <w:bidi w:val="0"/>
        <w:adjustRightInd w:val="0"/>
        <w:snapToGrid/>
        <w:spacing w:line="360" w:lineRule="auto"/>
        <w:ind w:left="0" w:leftChars="0" w:firstLine="480" w:firstLineChars="200"/>
        <w:textAlignment w:val="auto"/>
        <w:outlineLvl w:val="2"/>
        <w:rPr>
          <w:rFonts w:hint="eastAsia" w:cs="Times New Roman" w:asciiTheme="minorEastAsia" w:hAnsiTheme="minorEastAsia" w:eastAsiaTheme="minorEastAsia"/>
          <w:b w:val="0"/>
          <w:color w:val="000000"/>
          <w:kern w:val="0"/>
        </w:rPr>
      </w:pPr>
      <w:r>
        <w:rPr>
          <w:rFonts w:hint="eastAsia" w:asciiTheme="minorEastAsia" w:hAnsiTheme="minorEastAsia" w:eastAsiaTheme="minorEastAsia"/>
          <w:b/>
          <w:color w:val="auto"/>
          <w:kern w:val="2"/>
          <w:lang w:val="en-US" w:eastAsia="zh-CN"/>
        </w:rPr>
        <w:t xml:space="preserve">第2章 </w:t>
      </w:r>
      <w:r>
        <w:rPr>
          <w:rFonts w:hint="eastAsia" w:cs="Times New Roman" w:asciiTheme="minorEastAsia" w:hAnsiTheme="minorEastAsia" w:eastAsiaTheme="minorEastAsia"/>
          <w:b/>
          <w:color w:val="auto"/>
          <w:kern w:val="2"/>
        </w:rPr>
        <w:t>规范性引用文件</w:t>
      </w:r>
    </w:p>
    <w:p w14:paraId="4F58BA77">
      <w:pPr>
        <w:pStyle w:val="45"/>
        <w:spacing w:line="360" w:lineRule="auto"/>
        <w:ind w:firstLine="481"/>
        <w:rPr>
          <w:rFonts w:hint="eastAsia" w:asciiTheme="minorEastAsia" w:hAnsiTheme="minorEastAsia" w:eastAsiaTheme="minorEastAsia"/>
        </w:rPr>
      </w:pPr>
      <w:r>
        <w:rPr>
          <w:rFonts w:hint="eastAsia" w:asciiTheme="minorEastAsia" w:hAnsiTheme="minorEastAsia" w:eastAsiaTheme="minorEastAsia"/>
        </w:rPr>
        <w:t>从规范本标准的术语以及引用作为本标准的技术条款要求角度，</w:t>
      </w:r>
      <w:r>
        <w:rPr>
          <w:rFonts w:hint="eastAsia" w:asciiTheme="minorEastAsia" w:hAnsiTheme="minorEastAsia" w:eastAsiaTheme="minorEastAsia"/>
          <w:lang w:val="en-US" w:eastAsia="zh-CN"/>
        </w:rPr>
        <w:t>本标准</w:t>
      </w:r>
      <w:r>
        <w:rPr>
          <w:rFonts w:hint="eastAsia" w:asciiTheme="minorEastAsia" w:hAnsiTheme="minorEastAsia" w:eastAsiaTheme="minorEastAsia"/>
        </w:rPr>
        <w:t>引用以下</w:t>
      </w:r>
      <w:r>
        <w:rPr>
          <w:rFonts w:hint="eastAsia" w:asciiTheme="minorEastAsia" w:hAnsiTheme="minorEastAsia" w:eastAsiaTheme="minorEastAsia"/>
          <w:lang w:val="en-US" w:eastAsia="zh-CN"/>
        </w:rPr>
        <w:t>文件</w:t>
      </w:r>
      <w:r>
        <w:rPr>
          <w:rFonts w:hint="eastAsia" w:asciiTheme="minorEastAsia" w:hAnsiTheme="minorEastAsia" w:eastAsiaTheme="minorEastAsia"/>
          <w:b w:val="0"/>
          <w:color w:val="000000"/>
          <w:kern w:val="0"/>
        </w:rPr>
        <w:t>，保障了标准内容的规范性和与现行标准体系的协调性</w:t>
      </w:r>
      <w:r>
        <w:rPr>
          <w:rFonts w:hint="eastAsia" w:asciiTheme="minorEastAsia" w:hAnsiTheme="minorEastAsia" w:eastAsiaTheme="minorEastAsia"/>
        </w:rPr>
        <w:t>：</w:t>
      </w:r>
    </w:p>
    <w:p w14:paraId="7C5013DF">
      <w:pPr>
        <w:pStyle w:val="45"/>
        <w:spacing w:line="360" w:lineRule="auto"/>
        <w:ind w:firstLine="481"/>
        <w:rPr>
          <w:rFonts w:hint="eastAsia" w:cs="Times New Roman" w:asciiTheme="minorEastAsia" w:hAnsiTheme="minorEastAsia" w:eastAsiaTheme="minorEastAsia"/>
        </w:rPr>
      </w:pPr>
      <w:r>
        <w:rPr>
          <w:rFonts w:hint="eastAsia" w:cs="Times New Roman" w:asciiTheme="minorEastAsia" w:hAnsiTheme="minorEastAsia" w:eastAsiaTheme="minorEastAsia"/>
        </w:rPr>
        <w:t>GB/T 3766 液压传动系统及其元件的通用规则和安全要求</w:t>
      </w:r>
    </w:p>
    <w:p w14:paraId="271748A0">
      <w:pPr>
        <w:pStyle w:val="45"/>
        <w:spacing w:line="360" w:lineRule="auto"/>
        <w:ind w:firstLine="481"/>
        <w:rPr>
          <w:rFonts w:hint="eastAsia" w:cs="Times New Roman" w:asciiTheme="minorEastAsia" w:hAnsiTheme="minorEastAsia" w:eastAsiaTheme="minorEastAsia"/>
        </w:rPr>
      </w:pPr>
      <w:r>
        <w:rPr>
          <w:rFonts w:hint="eastAsia" w:cs="Times New Roman" w:asciiTheme="minorEastAsia" w:hAnsiTheme="minorEastAsia" w:eastAsiaTheme="minorEastAsia"/>
        </w:rPr>
        <w:t>GB/T 3836.2 爆炸性环境 第2部分：由隔爆外壳"d"保护的设备</w:t>
      </w:r>
    </w:p>
    <w:p w14:paraId="4349EA48">
      <w:pPr>
        <w:pStyle w:val="45"/>
        <w:spacing w:line="360" w:lineRule="auto"/>
        <w:ind w:firstLine="481"/>
        <w:rPr>
          <w:rFonts w:hint="eastAsia" w:cs="Times New Roman" w:asciiTheme="minorEastAsia" w:hAnsiTheme="minorEastAsia" w:eastAsiaTheme="minorEastAsia"/>
        </w:rPr>
      </w:pPr>
      <w:r>
        <w:rPr>
          <w:rFonts w:hint="eastAsia" w:cs="Times New Roman" w:asciiTheme="minorEastAsia" w:hAnsiTheme="minorEastAsia" w:eastAsiaTheme="minorEastAsia"/>
        </w:rPr>
        <w:t>GB/T 3836.3 爆炸性环境 第3部分：由增安型"e"保护的设备</w:t>
      </w:r>
    </w:p>
    <w:p w14:paraId="05ADA2ED">
      <w:pPr>
        <w:pStyle w:val="45"/>
        <w:spacing w:line="360" w:lineRule="auto"/>
        <w:ind w:firstLine="481"/>
        <w:rPr>
          <w:rFonts w:hint="eastAsia" w:cs="Times New Roman" w:asciiTheme="minorEastAsia" w:hAnsiTheme="minorEastAsia" w:eastAsiaTheme="minorEastAsia"/>
        </w:rPr>
      </w:pPr>
      <w:r>
        <w:rPr>
          <w:rFonts w:hint="eastAsia" w:cs="Times New Roman" w:asciiTheme="minorEastAsia" w:hAnsiTheme="minorEastAsia" w:eastAsiaTheme="minorEastAsia"/>
        </w:rPr>
        <w:t>GB/T 3836.4 爆炸性环境 第4部分：由本质安全型"i"保护的设备</w:t>
      </w:r>
    </w:p>
    <w:p w14:paraId="56F48629">
      <w:pPr>
        <w:pStyle w:val="45"/>
        <w:spacing w:line="360" w:lineRule="auto"/>
        <w:ind w:firstLine="481"/>
        <w:rPr>
          <w:rFonts w:hint="eastAsia" w:cs="Times New Roman" w:asciiTheme="minorEastAsia" w:hAnsiTheme="minorEastAsia" w:eastAsiaTheme="minorEastAsia"/>
        </w:rPr>
      </w:pPr>
      <w:r>
        <w:rPr>
          <w:rFonts w:hint="eastAsia" w:cs="Times New Roman" w:asciiTheme="minorEastAsia" w:hAnsiTheme="minorEastAsia" w:eastAsiaTheme="minorEastAsia"/>
        </w:rPr>
        <w:t>GB/T 8487 港口装卸术语</w:t>
      </w:r>
    </w:p>
    <w:p w14:paraId="39A0424E">
      <w:pPr>
        <w:pStyle w:val="45"/>
        <w:spacing w:line="360" w:lineRule="auto"/>
        <w:ind w:firstLine="481"/>
        <w:rPr>
          <w:rFonts w:hint="eastAsia" w:cs="Times New Roman" w:asciiTheme="minorEastAsia" w:hAnsiTheme="minorEastAsia" w:eastAsiaTheme="minorEastAsia"/>
        </w:rPr>
      </w:pPr>
      <w:r>
        <w:rPr>
          <w:rFonts w:hint="eastAsia" w:cs="Times New Roman" w:asciiTheme="minorEastAsia" w:hAnsiTheme="minorEastAsia" w:eastAsiaTheme="minorEastAsia"/>
        </w:rPr>
        <w:t>HG/T 21608 液体装卸臂工程技术要求</w:t>
      </w:r>
    </w:p>
    <w:p w14:paraId="59BFA382">
      <w:pPr>
        <w:pStyle w:val="45"/>
        <w:spacing w:line="360" w:lineRule="auto"/>
        <w:ind w:firstLine="481"/>
        <w:rPr>
          <w:rFonts w:hint="eastAsia" w:cs="Times New Roman" w:asciiTheme="minorEastAsia" w:hAnsiTheme="minorEastAsia" w:eastAsiaTheme="minorEastAsia"/>
          <w:lang w:val="en-US" w:eastAsia="zh-CN"/>
        </w:rPr>
      </w:pPr>
      <w:r>
        <w:rPr>
          <w:rFonts w:hint="eastAsia" w:cs="Times New Roman" w:asciiTheme="minorEastAsia" w:hAnsiTheme="minorEastAsia" w:eastAsiaTheme="minorEastAsia"/>
        </w:rPr>
        <w:t>JT/T 398 港口输油臂</w:t>
      </w:r>
    </w:p>
    <w:p w14:paraId="43FD8AE2">
      <w:pPr>
        <w:pStyle w:val="45"/>
        <w:keepNext w:val="0"/>
        <w:keepLines w:val="0"/>
        <w:pageBreakBefore w:val="0"/>
        <w:widowControl w:val="0"/>
        <w:numPr>
          <w:ilvl w:val="0"/>
          <w:numId w:val="6"/>
        </w:numPr>
        <w:kinsoku/>
        <w:wordWrap/>
        <w:overflowPunct/>
        <w:topLinePunct w:val="0"/>
        <w:autoSpaceDE w:val="0"/>
        <w:autoSpaceDN w:val="0"/>
        <w:bidi w:val="0"/>
        <w:adjustRightInd w:val="0"/>
        <w:snapToGrid/>
        <w:spacing w:line="360" w:lineRule="auto"/>
        <w:ind w:left="0" w:leftChars="0" w:firstLine="480" w:firstLineChars="200"/>
        <w:textAlignment w:val="auto"/>
        <w:outlineLvl w:val="2"/>
        <w:rPr>
          <w:rFonts w:hint="eastAsia" w:cs="Times New Roman" w:asciiTheme="minorEastAsia" w:hAnsiTheme="minorEastAsia" w:eastAsiaTheme="minorEastAsia"/>
          <w:b/>
          <w:color w:val="auto"/>
          <w:kern w:val="2"/>
        </w:rPr>
      </w:pPr>
      <w:r>
        <w:rPr>
          <w:rFonts w:hint="eastAsia" w:asciiTheme="minorEastAsia" w:hAnsiTheme="minorEastAsia" w:eastAsiaTheme="minorEastAsia"/>
          <w:b/>
          <w:color w:val="auto"/>
          <w:kern w:val="2"/>
          <w:lang w:val="en-US" w:eastAsia="zh-CN"/>
        </w:rPr>
        <w:t xml:space="preserve">第3章 </w:t>
      </w:r>
      <w:r>
        <w:rPr>
          <w:rFonts w:hint="eastAsia" w:cs="Times New Roman" w:asciiTheme="minorEastAsia" w:hAnsiTheme="minorEastAsia" w:eastAsiaTheme="minorEastAsia"/>
          <w:b/>
          <w:color w:val="auto"/>
          <w:kern w:val="2"/>
        </w:rPr>
        <w:t>术语和定义</w:t>
      </w:r>
    </w:p>
    <w:p w14:paraId="7A5B84A2">
      <w:pPr>
        <w:pStyle w:val="45"/>
        <w:spacing w:line="360" w:lineRule="auto"/>
        <w:ind w:firstLine="481"/>
        <w:rPr>
          <w:rFonts w:hint="eastAsia"/>
          <w:lang w:eastAsia="zh-CN"/>
        </w:rPr>
      </w:pPr>
      <w:r>
        <w:rPr>
          <w:rFonts w:hint="eastAsia" w:asciiTheme="minorEastAsia" w:hAnsiTheme="minorEastAsia" w:eastAsiaTheme="minorEastAsia"/>
        </w:rPr>
        <w:t>为统一理解和避免歧义，本标准引用了GB/T 8487《港口装卸术语》、JT/T 398《港口输油臂》以及HG/T 21608《液体装卸臂工程技术要求》中已界定的相关术语和定义</w:t>
      </w:r>
      <w:r>
        <w:rPr>
          <w:rFonts w:hint="eastAsia" w:asciiTheme="minorEastAsia" w:hAnsiTheme="minorEastAsia" w:eastAsiaTheme="minorEastAsia"/>
          <w:lang w:eastAsia="zh-CN"/>
        </w:rPr>
        <w:t>，</w:t>
      </w:r>
      <w:r>
        <w:rPr>
          <w:rFonts w:hint="eastAsia"/>
          <w:lang w:eastAsia="zh-CN"/>
        </w:rPr>
        <w:t>确保术语使用的规范性和一致性。</w:t>
      </w:r>
    </w:p>
    <w:p w14:paraId="3659324E">
      <w:pPr>
        <w:pStyle w:val="45"/>
        <w:keepNext w:val="0"/>
        <w:keepLines w:val="0"/>
        <w:pageBreakBefore w:val="0"/>
        <w:widowControl w:val="0"/>
        <w:numPr>
          <w:ilvl w:val="0"/>
          <w:numId w:val="6"/>
        </w:numPr>
        <w:kinsoku/>
        <w:wordWrap/>
        <w:overflowPunct/>
        <w:topLinePunct w:val="0"/>
        <w:autoSpaceDE w:val="0"/>
        <w:autoSpaceDN w:val="0"/>
        <w:bidi w:val="0"/>
        <w:adjustRightInd w:val="0"/>
        <w:snapToGrid/>
        <w:spacing w:line="360" w:lineRule="auto"/>
        <w:ind w:left="0" w:leftChars="0" w:firstLine="480" w:firstLineChars="200"/>
        <w:textAlignment w:val="auto"/>
        <w:outlineLvl w:val="2"/>
        <w:rPr>
          <w:rFonts w:hint="eastAsia" w:cs="Times New Roman" w:asciiTheme="minorEastAsia" w:hAnsiTheme="minorEastAsia" w:eastAsiaTheme="minorEastAsia"/>
          <w:b/>
          <w:color w:val="auto"/>
          <w:kern w:val="2"/>
          <w:lang w:val="en-US" w:eastAsia="zh-CN"/>
        </w:rPr>
      </w:pPr>
      <w:r>
        <w:rPr>
          <w:rFonts w:hint="eastAsia" w:asciiTheme="minorEastAsia" w:hAnsiTheme="minorEastAsia" w:eastAsiaTheme="minorEastAsia"/>
          <w:b/>
          <w:color w:val="auto"/>
          <w:kern w:val="2"/>
          <w:lang w:val="en-US" w:eastAsia="zh-CN"/>
        </w:rPr>
        <w:t xml:space="preserve">第4章 </w:t>
      </w:r>
      <w:r>
        <w:rPr>
          <w:rFonts w:hint="eastAsia" w:cs="Times New Roman" w:asciiTheme="minorEastAsia" w:hAnsiTheme="minorEastAsia" w:eastAsiaTheme="minorEastAsia"/>
          <w:b/>
          <w:color w:val="auto"/>
          <w:kern w:val="2"/>
          <w:lang w:val="en-US" w:eastAsia="zh-CN"/>
        </w:rPr>
        <w:t>一般要求</w:t>
      </w:r>
    </w:p>
    <w:p w14:paraId="1D476061">
      <w:pPr>
        <w:pStyle w:val="45"/>
        <w:spacing w:line="360" w:lineRule="auto"/>
        <w:ind w:firstLine="481"/>
        <w:jc w:val="both"/>
        <w:rPr>
          <w:rFonts w:hint="eastAsia" w:ascii="Times New Roman" w:hAnsi="Times New Roman" w:eastAsia="宋体" w:cs="Times New Roman"/>
          <w:lang w:val="zh-CN" w:eastAsia="zh-CN"/>
        </w:rPr>
      </w:pPr>
      <w:r>
        <w:rPr>
          <w:rFonts w:hint="eastAsia" w:eastAsiaTheme="minorEastAsia"/>
        </w:rPr>
        <w:t>按照</w:t>
      </w:r>
      <w:r>
        <w:rPr>
          <w:rFonts w:hint="eastAsia" w:cs="Times New Roman" w:asciiTheme="minorEastAsia" w:hAnsiTheme="minorEastAsia" w:eastAsiaTheme="minorEastAsia"/>
        </w:rPr>
        <w:t>JT/T 398</w:t>
      </w:r>
      <w:r>
        <w:rPr>
          <w:rFonts w:hint="eastAsia" w:cs="Times New Roman" w:asciiTheme="minorEastAsia" w:hAnsiTheme="minorEastAsia" w:eastAsiaTheme="minorEastAsia"/>
          <w:lang w:eastAsia="zh-CN"/>
        </w:rPr>
        <w:t>《</w:t>
      </w:r>
      <w:r>
        <w:rPr>
          <w:rFonts w:hint="eastAsia" w:cs="Times New Roman" w:asciiTheme="minorEastAsia" w:hAnsiTheme="minorEastAsia" w:eastAsiaTheme="minorEastAsia"/>
        </w:rPr>
        <w:t>港口输油臂</w:t>
      </w:r>
      <w:r>
        <w:rPr>
          <w:rFonts w:hint="eastAsia" w:cs="Times New Roman" w:asciiTheme="minorEastAsia" w:hAnsiTheme="minorEastAsia" w:eastAsiaTheme="minorEastAsia"/>
          <w:lang w:eastAsia="zh-CN"/>
        </w:rPr>
        <w:t>》</w:t>
      </w:r>
      <w:r>
        <w:rPr>
          <w:rFonts w:hint="eastAsia" w:cs="Times New Roman" w:asciiTheme="minorEastAsia" w:hAnsiTheme="minorEastAsia" w:eastAsiaTheme="minorEastAsia"/>
        </w:rPr>
        <w:t xml:space="preserve"> </w:t>
      </w:r>
      <w:r>
        <w:rPr>
          <w:rFonts w:hint="eastAsia" w:cs="Times New Roman" w:asciiTheme="minorEastAsia" w:hAnsiTheme="minorEastAsia" w:eastAsiaTheme="minorEastAsia"/>
          <w:lang w:eastAsia="zh-CN"/>
        </w:rPr>
        <w:t>、</w:t>
      </w:r>
      <w:r>
        <w:rPr>
          <w:rFonts w:hint="eastAsia" w:cs="Times New Roman" w:asciiTheme="minorEastAsia" w:hAnsiTheme="minorEastAsia" w:eastAsiaTheme="minorEastAsia"/>
        </w:rPr>
        <w:t>JTS 310</w:t>
      </w:r>
      <w:r>
        <w:rPr>
          <w:rFonts w:hint="eastAsia" w:cs="Times New Roman" w:asciiTheme="minorEastAsia" w:hAnsiTheme="minorEastAsia" w:eastAsiaTheme="minorEastAsia"/>
          <w:lang w:eastAsia="zh-CN"/>
        </w:rPr>
        <w:t>《</w:t>
      </w:r>
      <w:r>
        <w:rPr>
          <w:rFonts w:hint="eastAsia" w:cs="Times New Roman" w:asciiTheme="minorEastAsia" w:hAnsiTheme="minorEastAsia" w:eastAsiaTheme="minorEastAsia"/>
          <w:lang w:val="en-US" w:eastAsia="zh-CN"/>
        </w:rPr>
        <w:t>港口基础设施维护技术规范</w:t>
      </w:r>
      <w:r>
        <w:rPr>
          <w:rFonts w:hint="eastAsia" w:cs="Times New Roman" w:asciiTheme="minorEastAsia" w:hAnsiTheme="minorEastAsia" w:eastAsiaTheme="minorEastAsia"/>
          <w:lang w:eastAsia="zh-CN"/>
        </w:rPr>
        <w:t>》、SY/T 7602《液化天然气码头卸料臂检修规程》</w:t>
      </w:r>
      <w:r>
        <w:rPr>
          <w:rFonts w:hint="eastAsia" w:asciiTheme="minorEastAsia" w:hAnsiTheme="minorEastAsia" w:eastAsiaTheme="minorEastAsia"/>
          <w:lang w:val="en-US" w:eastAsia="zh-CN"/>
        </w:rPr>
        <w:t>等</w:t>
      </w:r>
      <w:r>
        <w:rPr>
          <w:rFonts w:hint="eastAsia" w:eastAsiaTheme="minorEastAsia"/>
        </w:rPr>
        <w:t>相关规定</w:t>
      </w:r>
      <w:r>
        <w:rPr>
          <w:rFonts w:hint="eastAsia" w:eastAsiaTheme="minorEastAsia"/>
          <w:lang w:val="en-US" w:eastAsia="zh-CN"/>
        </w:rPr>
        <w:t>与标准规范</w:t>
      </w:r>
      <w:r>
        <w:rPr>
          <w:rFonts w:hint="eastAsia" w:eastAsiaTheme="minorEastAsia"/>
        </w:rPr>
        <w:t>，结合行业实践情况，</w:t>
      </w:r>
      <w:r>
        <w:rPr>
          <w:rFonts w:hint="eastAsia" w:ascii="Times New Roman" w:hAnsi="Times New Roman" w:eastAsia="宋体" w:cs="Times New Roman"/>
          <w:lang w:val="zh-CN"/>
        </w:rPr>
        <w:t>明确装卸</w:t>
      </w:r>
      <w:r>
        <w:rPr>
          <w:rFonts w:hint="eastAsia" w:cs="Times New Roman"/>
          <w:lang w:val="en-US" w:eastAsia="zh-CN"/>
        </w:rPr>
        <w:t>臂</w:t>
      </w:r>
      <w:r>
        <w:rPr>
          <w:rFonts w:hint="eastAsia" w:ascii="Times New Roman" w:hAnsi="Times New Roman" w:eastAsia="宋体" w:cs="Times New Roman"/>
          <w:lang w:val="zh-CN"/>
        </w:rPr>
        <w:t>保养的一般要求，包括</w:t>
      </w:r>
      <w:r>
        <w:rPr>
          <w:rFonts w:hint="eastAsia" w:ascii="Times New Roman" w:hAnsi="Times New Roman" w:eastAsia="宋体" w:cs="Times New Roman"/>
          <w:lang w:val="en-US" w:eastAsia="zh-CN"/>
        </w:rPr>
        <w:t>保养制度、</w:t>
      </w:r>
      <w:r>
        <w:rPr>
          <w:rFonts w:hint="eastAsia" w:cs="Times New Roman"/>
          <w:lang w:val="en-US" w:eastAsia="zh-CN"/>
        </w:rPr>
        <w:t>人员培训</w:t>
      </w:r>
      <w:r>
        <w:rPr>
          <w:rFonts w:hint="eastAsia" w:ascii="Times New Roman" w:hAnsi="Times New Roman" w:eastAsia="宋体" w:cs="Times New Roman"/>
          <w:lang w:val="en-US" w:eastAsia="zh-CN"/>
        </w:rPr>
        <w:t>、</w:t>
      </w:r>
      <w:r>
        <w:rPr>
          <w:rFonts w:hint="eastAsia" w:cs="Times New Roman"/>
          <w:lang w:val="en-US" w:eastAsia="zh-CN"/>
        </w:rPr>
        <w:t>作业</w:t>
      </w:r>
      <w:r>
        <w:rPr>
          <w:rFonts w:hint="eastAsia" w:ascii="Times New Roman" w:hAnsi="Times New Roman" w:eastAsia="宋体" w:cs="Times New Roman"/>
          <w:lang w:val="en-US" w:eastAsia="zh-CN"/>
        </w:rPr>
        <w:t>环境、安全防护、异常处理、</w:t>
      </w:r>
      <w:r>
        <w:rPr>
          <w:rFonts w:hint="eastAsia" w:cs="Times New Roman"/>
          <w:lang w:val="en-US" w:eastAsia="zh-CN"/>
        </w:rPr>
        <w:t>保养后投入使用要求</w:t>
      </w:r>
      <w:r>
        <w:rPr>
          <w:rFonts w:hint="eastAsia" w:ascii="Times New Roman" w:hAnsi="Times New Roman" w:eastAsia="宋体" w:cs="Times New Roman"/>
          <w:lang w:val="en-US" w:eastAsia="zh-CN"/>
        </w:rPr>
        <w:t>等共性和通用性</w:t>
      </w:r>
      <w:r>
        <w:rPr>
          <w:rFonts w:hint="eastAsia" w:cs="Times New Roman"/>
          <w:lang w:val="en-US" w:eastAsia="zh-CN"/>
        </w:rPr>
        <w:t>的</w:t>
      </w:r>
      <w:r>
        <w:rPr>
          <w:rFonts w:hint="eastAsia" w:ascii="Times New Roman" w:hAnsi="Times New Roman" w:eastAsia="宋体" w:cs="Times New Roman"/>
          <w:lang w:val="zh-CN" w:eastAsia="zh-CN"/>
        </w:rPr>
        <w:t>要求。</w:t>
      </w:r>
    </w:p>
    <w:p w14:paraId="560C10F8">
      <w:pPr>
        <w:pStyle w:val="45"/>
        <w:spacing w:line="360" w:lineRule="auto"/>
        <w:ind w:firstLine="481"/>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（1）4.1为落实装卸臂使用单位保养主体责任，规定使用单位应建立保养制度，结合设备特性和使用状况组织实施保养工作。</w:t>
      </w:r>
    </w:p>
    <w:p w14:paraId="38CD2536">
      <w:pPr>
        <w:pStyle w:val="45"/>
        <w:spacing w:line="360" w:lineRule="auto"/>
        <w:ind w:firstLine="481"/>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确保保养工作贴合设备实际与相关管理规定与标准要求，本标准规定装卸臂使用单位应建立保养制度，针对性开展保养。</w:t>
      </w:r>
    </w:p>
    <w:p w14:paraId="2A4A1D09">
      <w:pPr>
        <w:pStyle w:val="45"/>
        <w:spacing w:line="360" w:lineRule="auto"/>
        <w:ind w:firstLine="481"/>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（2）4.2 为保障人员专业能力，规定保养单位需</w:t>
      </w:r>
      <w:r>
        <w:rPr>
          <w:rFonts w:hint="eastAsia" w:cs="Times New Roman"/>
          <w:lang w:val="en-US" w:eastAsia="zh-CN"/>
        </w:rPr>
        <w:t>对保养人员进行能力培训</w:t>
      </w:r>
      <w:r>
        <w:rPr>
          <w:rFonts w:hint="eastAsia" w:ascii="Times New Roman" w:hAnsi="Times New Roman" w:eastAsia="宋体" w:cs="Times New Roman"/>
          <w:lang w:val="en-US" w:eastAsia="zh-CN"/>
        </w:rPr>
        <w:t>，并建立培训档案实现培养记录追溯。</w:t>
      </w:r>
    </w:p>
    <w:p w14:paraId="335B2DE5">
      <w:pPr>
        <w:pStyle w:val="45"/>
        <w:spacing w:line="360" w:lineRule="auto"/>
        <w:ind w:firstLine="481"/>
        <w:jc w:val="both"/>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（3）4.3—4.</w:t>
      </w:r>
      <w:r>
        <w:rPr>
          <w:rFonts w:hint="eastAsia" w:cs="Times New Roman"/>
          <w:lang w:val="en-US" w:eastAsia="zh-CN"/>
        </w:rPr>
        <w:t>5</w:t>
      </w:r>
      <w:r>
        <w:rPr>
          <w:rFonts w:hint="eastAsia" w:ascii="Times New Roman" w:hAnsi="Times New Roman" w:eastAsia="宋体" w:cs="Times New Roman"/>
          <w:lang w:val="en-US" w:eastAsia="zh-CN"/>
        </w:rPr>
        <w:t xml:space="preserve"> 为保障作业安全，规定保养作业环境需满足气温–20℃至45℃、风速不大于20 m/s，同时需设警示标志、落实防护措施及穿戴劳保用品。</w:t>
      </w:r>
    </w:p>
    <w:p w14:paraId="3966D89E">
      <w:pPr>
        <w:pStyle w:val="45"/>
        <w:spacing w:line="360" w:lineRule="auto"/>
        <w:ind w:firstLine="481"/>
        <w:jc w:val="both"/>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（4）</w:t>
      </w:r>
      <w:r>
        <w:rPr>
          <w:rFonts w:hint="eastAsia" w:cs="Times New Roman"/>
          <w:lang w:val="en-US" w:eastAsia="zh-CN"/>
        </w:rPr>
        <w:t>4.6</w:t>
      </w:r>
      <w:r>
        <w:rPr>
          <w:rFonts w:hint="eastAsia" w:ascii="Times New Roman" w:hAnsi="Times New Roman" w:eastAsia="宋体" w:cs="Times New Roman"/>
          <w:lang w:val="en-US" w:eastAsia="zh-CN"/>
        </w:rPr>
        <w:t>—4.</w:t>
      </w:r>
      <w:r>
        <w:rPr>
          <w:rFonts w:hint="eastAsia" w:cs="Times New Roman"/>
          <w:lang w:val="en-US" w:eastAsia="zh-CN"/>
        </w:rPr>
        <w:t>8</w:t>
      </w:r>
      <w:r>
        <w:rPr>
          <w:rFonts w:hint="eastAsia" w:ascii="Times New Roman" w:hAnsi="Times New Roman" w:eastAsia="宋体" w:cs="Times New Roman"/>
          <w:lang w:val="en-US" w:eastAsia="zh-CN"/>
        </w:rPr>
        <w:t xml:space="preserve"> 为管控故障与保障投用安全，规定保养中发现异常或故障时，应立即采取应急措施并报告相关负责人，根据设备劣化程度进行必要修理，必要时调整保养项目或频次；保养完成后需检查合格方可投入使用。</w:t>
      </w:r>
    </w:p>
    <w:p w14:paraId="11E2AE08">
      <w:pPr>
        <w:pStyle w:val="45"/>
        <w:keepNext w:val="0"/>
        <w:keepLines w:val="0"/>
        <w:pageBreakBefore w:val="0"/>
        <w:widowControl w:val="0"/>
        <w:numPr>
          <w:ilvl w:val="0"/>
          <w:numId w:val="6"/>
        </w:numPr>
        <w:kinsoku/>
        <w:wordWrap/>
        <w:overflowPunct/>
        <w:topLinePunct w:val="0"/>
        <w:autoSpaceDE w:val="0"/>
        <w:autoSpaceDN w:val="0"/>
        <w:bidi w:val="0"/>
        <w:adjustRightInd w:val="0"/>
        <w:snapToGrid/>
        <w:spacing w:line="360" w:lineRule="auto"/>
        <w:ind w:left="0" w:leftChars="0" w:firstLine="480" w:firstLineChars="200"/>
        <w:jc w:val="both"/>
        <w:textAlignment w:val="auto"/>
        <w:outlineLvl w:val="2"/>
        <w:rPr>
          <w:rFonts w:hint="eastAsia" w:cs="Times New Roman" w:asciiTheme="minorEastAsia" w:hAnsiTheme="minorEastAsia" w:eastAsiaTheme="minorEastAsia"/>
          <w:b/>
          <w:color w:val="auto"/>
          <w:kern w:val="2"/>
          <w:lang w:val="en-US" w:eastAsia="zh-CN"/>
        </w:rPr>
      </w:pPr>
      <w:r>
        <w:rPr>
          <w:rFonts w:hint="eastAsia" w:asciiTheme="minorEastAsia" w:hAnsiTheme="minorEastAsia" w:eastAsiaTheme="minorEastAsia"/>
          <w:b/>
          <w:color w:val="auto"/>
          <w:kern w:val="2"/>
          <w:lang w:val="en-US" w:eastAsia="zh-CN"/>
        </w:rPr>
        <w:t xml:space="preserve">第5章 </w:t>
      </w:r>
      <w:r>
        <w:rPr>
          <w:rFonts w:hint="eastAsia" w:cs="Times New Roman" w:asciiTheme="minorEastAsia" w:hAnsiTheme="minorEastAsia" w:eastAsiaTheme="minorEastAsia"/>
          <w:b/>
          <w:color w:val="auto"/>
          <w:kern w:val="2"/>
          <w:lang w:val="en-US" w:eastAsia="zh-CN"/>
        </w:rPr>
        <w:t>保养周期</w:t>
      </w:r>
    </w:p>
    <w:p w14:paraId="48712525">
      <w:pPr>
        <w:pStyle w:val="45"/>
        <w:spacing w:line="360" w:lineRule="auto"/>
        <w:ind w:firstLine="481"/>
        <w:jc w:val="both"/>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通过规范装卸臂的保养周期，确保</w:t>
      </w:r>
      <w:r>
        <w:rPr>
          <w:rFonts w:hint="eastAsia" w:cs="Times New Roman"/>
          <w:lang w:val="en-US" w:eastAsia="zh-CN"/>
        </w:rPr>
        <w:t>设备</w:t>
      </w:r>
      <w:r>
        <w:rPr>
          <w:rFonts w:hint="eastAsia" w:ascii="Times New Roman" w:hAnsi="Times New Roman" w:eastAsia="宋体" w:cs="Times New Roman"/>
          <w:lang w:val="en-US" w:eastAsia="zh-CN"/>
        </w:rPr>
        <w:t>在全生命周期内得到科学、及时的维护，降低故障风险，保障作业安全，延长使用寿命。</w:t>
      </w:r>
    </w:p>
    <w:p w14:paraId="3DF492B3">
      <w:pPr>
        <w:pStyle w:val="45"/>
        <w:spacing w:line="360" w:lineRule="auto"/>
        <w:ind w:firstLine="481"/>
        <w:jc w:val="both"/>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（1）5.1 基于国内主要液体散货码头及装卸臂设计、保养企业</w:t>
      </w:r>
      <w:r>
        <w:rPr>
          <w:rFonts w:hint="eastAsia" w:cs="Times New Roman"/>
          <w:lang w:val="en-US" w:eastAsia="zh-CN"/>
        </w:rPr>
        <w:t>的实践经验</w:t>
      </w:r>
      <w:r>
        <w:rPr>
          <w:rFonts w:hint="eastAsia" w:ascii="Times New Roman" w:hAnsi="Times New Roman" w:eastAsia="宋体" w:cs="Times New Roman"/>
          <w:lang w:val="en-US" w:eastAsia="zh-CN"/>
        </w:rPr>
        <w:t>，参考JTS 310《港口基础设施维护技术规范》等相关标准规范，结合装卸臂高频次、连续性作业特性和设备磨损规律，</w:t>
      </w:r>
      <w:r>
        <w:rPr>
          <w:rFonts w:hint="eastAsia" w:cs="Times New Roman"/>
          <w:lang w:val="en-US" w:eastAsia="zh-CN"/>
        </w:rPr>
        <w:t>确定保养按保养周期</w:t>
      </w:r>
      <w:r>
        <w:rPr>
          <w:rFonts w:hint="eastAsia" w:ascii="Times New Roman" w:hAnsi="Times New Roman" w:eastAsia="宋体" w:cs="Times New Roman"/>
          <w:lang w:val="en-US" w:eastAsia="zh-CN"/>
        </w:rPr>
        <w:t>分为日常保养和周期性保养</w:t>
      </w:r>
      <w:r>
        <w:rPr>
          <w:rFonts w:hint="eastAsia" w:cs="Times New Roman"/>
          <w:lang w:val="en-US" w:eastAsia="zh-CN"/>
        </w:rPr>
        <w:t>，</w:t>
      </w:r>
      <w:r>
        <w:rPr>
          <w:rFonts w:hint="eastAsia" w:ascii="Times New Roman" w:hAnsi="Times New Roman" w:eastAsia="宋体" w:cs="Times New Roman"/>
          <w:lang w:val="en-US" w:eastAsia="zh-CN"/>
        </w:rPr>
        <w:t>既覆盖日常使用中的即时状态检查与保养，也包含中长期的系统性检查与保养。其中，日常保养周按每日或每运行班次开展，以即时检查可及时发现泄漏、松动等即时性问题，避免小故障扩大。周期性保养按照月度（1个月）、季度（</w:t>
      </w:r>
      <w:r>
        <w:rPr>
          <w:rFonts w:hint="eastAsia" w:cs="Times New Roman"/>
          <w:lang w:val="en-US" w:eastAsia="zh-CN"/>
        </w:rPr>
        <w:t>3</w:t>
      </w:r>
      <w:r>
        <w:rPr>
          <w:rFonts w:hint="eastAsia" w:ascii="Times New Roman" w:hAnsi="Times New Roman" w:eastAsia="宋体" w:cs="Times New Roman"/>
          <w:lang w:val="en-US" w:eastAsia="zh-CN"/>
        </w:rPr>
        <w:t>个月）、半年度</w:t>
      </w:r>
      <w:r>
        <w:rPr>
          <w:rFonts w:hint="eastAsia" w:cs="Times New Roman"/>
          <w:lang w:val="en-US" w:eastAsia="zh-CN"/>
        </w:rPr>
        <w:t>（6个月）</w:t>
      </w:r>
      <w:r>
        <w:rPr>
          <w:rFonts w:hint="eastAsia" w:ascii="Times New Roman" w:hAnsi="Times New Roman" w:eastAsia="宋体" w:cs="Times New Roman"/>
          <w:lang w:val="en-US" w:eastAsia="zh-CN"/>
        </w:rPr>
        <w:t>及年度</w:t>
      </w:r>
      <w:r>
        <w:rPr>
          <w:rFonts w:hint="eastAsia" w:cs="Times New Roman"/>
          <w:lang w:val="en-US" w:eastAsia="zh-CN"/>
        </w:rPr>
        <w:t>（1年）</w:t>
      </w:r>
      <w:r>
        <w:rPr>
          <w:rFonts w:hint="eastAsia" w:ascii="Times New Roman" w:hAnsi="Times New Roman" w:eastAsia="宋体" w:cs="Times New Roman"/>
          <w:lang w:val="en-US" w:eastAsia="zh-CN"/>
        </w:rPr>
        <w:t>开展，确保关键部件在故障高发期前得到干预。</w:t>
      </w:r>
    </w:p>
    <w:p w14:paraId="09B10550">
      <w:pPr>
        <w:pStyle w:val="45"/>
        <w:spacing w:line="360" w:lineRule="auto"/>
        <w:ind w:firstLine="481"/>
        <w:jc w:val="both"/>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（2）5.</w:t>
      </w:r>
      <w:r>
        <w:rPr>
          <w:rFonts w:hint="eastAsia" w:cs="Times New Roman"/>
          <w:lang w:val="en-US" w:eastAsia="zh-CN"/>
        </w:rPr>
        <w:t>2</w:t>
      </w:r>
      <w:r>
        <w:rPr>
          <w:rFonts w:hint="eastAsia" w:ascii="Times New Roman" w:hAnsi="Times New Roman" w:eastAsia="宋体" w:cs="Times New Roman"/>
          <w:lang w:val="en-US" w:eastAsia="zh-CN"/>
        </w:rPr>
        <w:t xml:space="preserve"> 列举6种需增加保养频次的特殊情况</w:t>
      </w:r>
      <w:r>
        <w:rPr>
          <w:rFonts w:hint="eastAsia" w:cs="Times New Roman"/>
          <w:lang w:val="en-US" w:eastAsia="zh-CN"/>
        </w:rPr>
        <w:t>。</w:t>
      </w:r>
      <w:r>
        <w:rPr>
          <w:rFonts w:hint="eastAsia" w:ascii="Times New Roman" w:hAnsi="Times New Roman" w:eastAsia="宋体" w:cs="Times New Roman"/>
          <w:lang w:val="en-US" w:eastAsia="zh-CN"/>
        </w:rPr>
        <w:t>旨在通过动态调整保养周期，应对高风险、高损耗或特殊状态下的设备</w:t>
      </w:r>
      <w:r>
        <w:rPr>
          <w:rFonts w:hint="eastAsia" w:cs="Times New Roman"/>
          <w:lang w:val="en-US" w:eastAsia="zh-CN"/>
        </w:rPr>
        <w:t>保养</w:t>
      </w:r>
      <w:r>
        <w:rPr>
          <w:rFonts w:hint="eastAsia" w:ascii="Times New Roman" w:hAnsi="Times New Roman" w:eastAsia="宋体" w:cs="Times New Roman"/>
          <w:lang w:val="en-US" w:eastAsia="zh-CN"/>
        </w:rPr>
        <w:t>需求。</w:t>
      </w:r>
    </w:p>
    <w:p w14:paraId="31F44774">
      <w:pPr>
        <w:pStyle w:val="45"/>
        <w:spacing w:line="360" w:lineRule="auto"/>
        <w:ind w:firstLine="481"/>
        <w:jc w:val="both"/>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a) 装卸臂投入使用第一年内：新设备存在磨合期故障风险较高，增加频次可及时发现安装或制造遗留问题。</w:t>
      </w:r>
    </w:p>
    <w:p w14:paraId="034E210E">
      <w:pPr>
        <w:pStyle w:val="45"/>
        <w:spacing w:line="360" w:lineRule="auto"/>
        <w:ind w:firstLine="481"/>
        <w:jc w:val="both"/>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b) 用于装卸易燃、易爆液体散货的装卸臂：此类介质具有高危险性，设备泄漏、静电积聚等隐患可能引发安全事故，需通过更频繁的保养强化风险防控。</w:t>
      </w:r>
    </w:p>
    <w:p w14:paraId="27F68B46">
      <w:pPr>
        <w:pStyle w:val="45"/>
        <w:spacing w:line="360" w:lineRule="auto"/>
        <w:ind w:firstLine="481"/>
        <w:jc w:val="both"/>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c) 遭受自然灾害或事故后：地震、高温等自然灾害可能导致结构变形、密封失效，爆炸、撞击等事故可能造成隐性损伤，增加保养频次可及时排查潜在故障。</w:t>
      </w:r>
    </w:p>
    <w:p w14:paraId="7DD4D24D">
      <w:pPr>
        <w:pStyle w:val="45"/>
        <w:spacing w:line="360" w:lineRule="auto"/>
        <w:ind w:firstLine="481"/>
        <w:jc w:val="both"/>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d) 保养周期内已开展专项维修的：专项维修后，需通过增加检查确认维修效果，避免维修不当导致二次故障。</w:t>
      </w:r>
    </w:p>
    <w:p w14:paraId="3EE932A2">
      <w:pPr>
        <w:pStyle w:val="45"/>
        <w:spacing w:line="360" w:lineRule="auto"/>
        <w:ind w:firstLine="481"/>
        <w:jc w:val="both"/>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e) 达到设计使用年限后仍继续使用的：超期使用设备的老化、损耗速度加快，增加保养频次可弥补设备性能衰减带来的风险。</w:t>
      </w:r>
    </w:p>
    <w:p w14:paraId="06B01BC3">
      <w:pPr>
        <w:pStyle w:val="45"/>
        <w:spacing w:line="360" w:lineRule="auto"/>
        <w:ind w:firstLine="481"/>
        <w:jc w:val="both"/>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f) 保养单位认为有必要的其他情况：保留灵活性条款，以应对未预见的特殊场景（如长期超负荷运行、介质腐蚀性突然增强等），确保标准的适用性。</w:t>
      </w:r>
    </w:p>
    <w:p w14:paraId="4064B8BA">
      <w:pPr>
        <w:pStyle w:val="45"/>
        <w:keepNext w:val="0"/>
        <w:keepLines w:val="0"/>
        <w:pageBreakBefore w:val="0"/>
        <w:widowControl w:val="0"/>
        <w:numPr>
          <w:ilvl w:val="0"/>
          <w:numId w:val="6"/>
        </w:numPr>
        <w:kinsoku/>
        <w:wordWrap/>
        <w:overflowPunct/>
        <w:topLinePunct w:val="0"/>
        <w:autoSpaceDE w:val="0"/>
        <w:autoSpaceDN w:val="0"/>
        <w:bidi w:val="0"/>
        <w:adjustRightInd w:val="0"/>
        <w:snapToGrid/>
        <w:spacing w:line="360" w:lineRule="auto"/>
        <w:ind w:left="0" w:leftChars="0" w:firstLine="480" w:firstLineChars="200"/>
        <w:jc w:val="both"/>
        <w:textAlignment w:val="auto"/>
        <w:outlineLvl w:val="2"/>
        <w:rPr>
          <w:rFonts w:hint="eastAsia" w:cs="Times New Roman" w:asciiTheme="minorEastAsia" w:hAnsiTheme="minorEastAsia" w:eastAsiaTheme="minorEastAsia"/>
          <w:b/>
          <w:color w:val="auto"/>
          <w:kern w:val="2"/>
          <w:lang w:val="en-US" w:eastAsia="zh-CN"/>
        </w:rPr>
      </w:pPr>
      <w:r>
        <w:rPr>
          <w:rFonts w:hint="eastAsia" w:asciiTheme="minorEastAsia" w:hAnsiTheme="minorEastAsia" w:eastAsiaTheme="minorEastAsia"/>
          <w:b/>
          <w:color w:val="auto"/>
          <w:kern w:val="2"/>
          <w:lang w:val="en-US" w:eastAsia="zh-CN"/>
        </w:rPr>
        <w:t xml:space="preserve">第6章 </w:t>
      </w:r>
      <w:r>
        <w:rPr>
          <w:rFonts w:hint="eastAsia" w:cs="Times New Roman" w:asciiTheme="minorEastAsia" w:hAnsiTheme="minorEastAsia" w:eastAsiaTheme="minorEastAsia"/>
          <w:b/>
          <w:color w:val="auto"/>
          <w:kern w:val="2"/>
          <w:lang w:val="en-US" w:eastAsia="zh-CN"/>
        </w:rPr>
        <w:t>保养内容与要求</w:t>
      </w:r>
    </w:p>
    <w:p w14:paraId="1825ADCB">
      <w:pPr>
        <w:pStyle w:val="45"/>
        <w:spacing w:line="360" w:lineRule="auto"/>
        <w:ind w:firstLine="481"/>
        <w:jc w:val="both"/>
        <w:rPr>
          <w:rFonts w:hint="eastAsia" w:ascii="Times New Roman" w:hAnsi="Times New Roman" w:eastAsia="宋体" w:cs="Times New Roman"/>
          <w:bCs/>
          <w:strike w:val="0"/>
          <w:color w:val="000000"/>
          <w:sz w:val="24"/>
          <w:highlight w:val="yellow"/>
        </w:rPr>
      </w:pPr>
      <w:r>
        <w:rPr>
          <w:rFonts w:hint="eastAsia" w:ascii="Times New Roman" w:hAnsi="Times New Roman" w:eastAsia="宋体" w:cs="Times New Roman"/>
          <w:bCs/>
          <w:color w:val="000000"/>
          <w:sz w:val="24"/>
          <w:lang w:val="en-US" w:eastAsia="zh-CN"/>
        </w:rPr>
        <w:t>（1）6.1参考GB/T 44561《石油天然气工业，常规陆上接收站液化天然气装卸臂的设计与测试》、SY/T 7602《液化天然气码头卸料臂检修规程》，基于国内主要液体散货码头及装卸臂设计、保养等企业关于装卸臂保养实践</w:t>
      </w:r>
      <w:r>
        <w:rPr>
          <w:rFonts w:hint="eastAsia" w:cs="Times New Roman"/>
          <w:bCs/>
          <w:color w:val="000000"/>
          <w:sz w:val="24"/>
          <w:lang w:val="en-US" w:eastAsia="zh-CN"/>
        </w:rPr>
        <w:t>经验</w:t>
      </w:r>
      <w:r>
        <w:rPr>
          <w:rFonts w:hint="eastAsia" w:ascii="Times New Roman" w:hAnsi="Times New Roman" w:eastAsia="宋体" w:cs="Times New Roman"/>
          <w:bCs/>
          <w:color w:val="000000"/>
          <w:sz w:val="24"/>
          <w:lang w:val="en-US" w:eastAsia="zh-CN"/>
        </w:rPr>
        <w:t>，结合装卸臂构造、使用及磨损特性，提出保养项目需涵盖主机、液压系统、</w:t>
      </w:r>
      <w:r>
        <w:rPr>
          <w:rFonts w:hint="eastAsia" w:ascii="Times New Roman" w:hAnsi="Times New Roman" w:eastAsia="宋体" w:cs="Times New Roman"/>
          <w:bCs/>
          <w:color w:val="000000"/>
          <w:sz w:val="24"/>
          <w:highlight w:val="none"/>
          <w:lang w:val="en-US" w:eastAsia="zh-CN"/>
        </w:rPr>
        <w:t>电气系统与吹扫装置。</w:t>
      </w:r>
      <w:r>
        <w:rPr>
          <w:rFonts w:hint="eastAsia" w:ascii="Times New Roman" w:hAnsi="Times New Roman" w:eastAsia="宋体" w:cs="Times New Roman"/>
          <w:bCs/>
          <w:strike w:val="0"/>
          <w:color w:val="000000"/>
          <w:sz w:val="24"/>
          <w:highlight w:val="none"/>
          <w:lang w:val="en-US" w:eastAsia="zh-CN"/>
        </w:rPr>
        <w:t>各周期保养项目按故障风险深度差异设定：其中，日常保养侧重外观和关键功能检查，快速判断设备是否可运行；</w:t>
      </w:r>
      <w:r>
        <w:rPr>
          <w:rFonts w:hint="eastAsia" w:cs="Times New Roman"/>
          <w:bCs/>
          <w:strike w:val="0"/>
          <w:color w:val="000000"/>
          <w:sz w:val="24"/>
          <w:highlight w:val="none"/>
          <w:lang w:val="en-US" w:eastAsia="zh-CN"/>
        </w:rPr>
        <w:t>月度、</w:t>
      </w:r>
      <w:r>
        <w:rPr>
          <w:rFonts w:hint="eastAsia" w:ascii="Times New Roman" w:hAnsi="Times New Roman" w:eastAsia="宋体" w:cs="Times New Roman"/>
          <w:bCs/>
          <w:strike w:val="0"/>
          <w:color w:val="000000"/>
          <w:sz w:val="24"/>
          <w:highlight w:val="none"/>
          <w:lang w:val="en-US" w:eastAsia="zh-CN"/>
        </w:rPr>
        <w:t>季度、半年度和年度保养增加部件深层次</w:t>
      </w:r>
      <w:r>
        <w:rPr>
          <w:rFonts w:hint="eastAsia" w:cs="Times New Roman"/>
          <w:bCs/>
          <w:strike w:val="0"/>
          <w:color w:val="000000"/>
          <w:sz w:val="24"/>
          <w:highlight w:val="none"/>
          <w:lang w:val="en-US" w:eastAsia="zh-CN"/>
        </w:rPr>
        <w:t>检查与</w:t>
      </w:r>
      <w:r>
        <w:rPr>
          <w:rFonts w:hint="eastAsia" w:ascii="Times New Roman" w:hAnsi="Times New Roman" w:eastAsia="宋体" w:cs="Times New Roman"/>
          <w:bCs/>
          <w:strike w:val="0"/>
          <w:color w:val="000000"/>
          <w:sz w:val="24"/>
          <w:highlight w:val="none"/>
          <w:lang w:val="en-US" w:eastAsia="zh-CN"/>
        </w:rPr>
        <w:t>保养项目。</w:t>
      </w:r>
    </w:p>
    <w:p w14:paraId="6C1AC492">
      <w:pPr>
        <w:pStyle w:val="45"/>
        <w:spacing w:line="360" w:lineRule="auto"/>
        <w:ind w:firstLine="481"/>
        <w:jc w:val="both"/>
        <w:rPr>
          <w:rFonts w:hint="eastAsia" w:ascii="Times New Roman" w:hAnsi="Times New Roman" w:eastAsia="宋体" w:cs="Times New Roman"/>
          <w:bCs/>
          <w:color w:val="000000"/>
          <w:sz w:val="24"/>
          <w:lang w:val="en-US" w:eastAsia="zh-CN"/>
        </w:rPr>
      </w:pPr>
      <w:r>
        <w:rPr>
          <w:rFonts w:hint="eastAsia" w:ascii="Times New Roman" w:hAnsi="Times New Roman" w:eastAsia="宋体" w:cs="Times New Roman"/>
          <w:bCs/>
          <w:color w:val="000000"/>
          <w:sz w:val="24"/>
          <w:lang w:val="en-US" w:eastAsia="zh-CN"/>
        </w:rPr>
        <w:t>（2）6.2.1规定各保养周期</w:t>
      </w:r>
      <w:r>
        <w:rPr>
          <w:rFonts w:hint="eastAsia" w:cs="Times New Roman"/>
          <w:bCs/>
          <w:color w:val="000000"/>
          <w:sz w:val="24"/>
          <w:lang w:val="en-US" w:eastAsia="zh-CN"/>
        </w:rPr>
        <w:t>的具体</w:t>
      </w:r>
      <w:r>
        <w:rPr>
          <w:rFonts w:hint="eastAsia" w:ascii="Times New Roman" w:hAnsi="Times New Roman" w:eastAsia="宋体" w:cs="Times New Roman"/>
          <w:bCs/>
          <w:color w:val="000000"/>
          <w:sz w:val="24"/>
          <w:lang w:val="en-US" w:eastAsia="zh-CN"/>
        </w:rPr>
        <w:t>保养内容与方法</w:t>
      </w:r>
      <w:r>
        <w:rPr>
          <w:rFonts w:hint="eastAsia" w:cs="Times New Roman"/>
          <w:bCs/>
          <w:color w:val="000000"/>
          <w:sz w:val="24"/>
          <w:lang w:val="en-US" w:eastAsia="zh-CN"/>
        </w:rPr>
        <w:t>应符合</w:t>
      </w:r>
      <w:r>
        <w:rPr>
          <w:rFonts w:hint="eastAsia" w:ascii="Times New Roman" w:hAnsi="Times New Roman" w:eastAsia="宋体" w:cs="Times New Roman"/>
          <w:bCs/>
          <w:color w:val="000000"/>
          <w:sz w:val="24"/>
          <w:lang w:val="en-US" w:eastAsia="zh-CN"/>
        </w:rPr>
        <w:t>附录A</w:t>
      </w:r>
      <w:r>
        <w:rPr>
          <w:rFonts w:hint="eastAsia" w:cs="Times New Roman"/>
          <w:bCs/>
          <w:color w:val="000000"/>
          <w:sz w:val="24"/>
          <w:lang w:val="en-US" w:eastAsia="zh-CN"/>
        </w:rPr>
        <w:t>的要求</w:t>
      </w:r>
      <w:r>
        <w:rPr>
          <w:rFonts w:hint="eastAsia" w:ascii="Times New Roman" w:hAnsi="Times New Roman" w:eastAsia="宋体" w:cs="Times New Roman"/>
          <w:bCs/>
          <w:color w:val="000000"/>
          <w:sz w:val="24"/>
          <w:lang w:val="en-US" w:eastAsia="zh-CN"/>
        </w:rPr>
        <w:t>，既保证基础要求统一，又兼顾不同设与作业环境的的特殊性。同时，提出按照5.3规定的6类场景可增加必要的保养项目与内容，确保高风险状态下设备得到充分保养。</w:t>
      </w:r>
    </w:p>
    <w:p w14:paraId="3181035E">
      <w:pPr>
        <w:pStyle w:val="45"/>
        <w:spacing w:line="360" w:lineRule="auto"/>
        <w:ind w:firstLine="481"/>
        <w:jc w:val="both"/>
        <w:rPr>
          <w:rFonts w:hint="eastAsia" w:ascii="Times New Roman" w:hAnsi="Times New Roman" w:eastAsia="宋体" w:cs="Times New Roman"/>
          <w:bCs/>
          <w:color w:val="000000"/>
          <w:sz w:val="24"/>
          <w:lang w:val="en-US" w:eastAsia="zh-CN"/>
        </w:rPr>
      </w:pPr>
      <w:r>
        <w:rPr>
          <w:rFonts w:hint="eastAsia" w:ascii="Times New Roman" w:hAnsi="Times New Roman" w:eastAsia="宋体" w:cs="Times New Roman"/>
          <w:bCs/>
          <w:color w:val="000000"/>
          <w:sz w:val="24"/>
          <w:lang w:val="en-US" w:eastAsia="zh-CN"/>
        </w:rPr>
        <w:t>（3）6.2.2 规定保养检查含静止、运行两种工况。静止状态排查结构、外观等，运行状态验证动态性能，避免单一工况导致故障遗漏。</w:t>
      </w:r>
    </w:p>
    <w:p w14:paraId="0D258C0C">
      <w:pPr>
        <w:pStyle w:val="45"/>
        <w:spacing w:line="360" w:lineRule="auto"/>
        <w:ind w:firstLine="481"/>
        <w:jc w:val="both"/>
        <w:rPr>
          <w:rFonts w:hint="default" w:ascii="Times New Roman" w:hAnsi="Times New Roman" w:eastAsia="宋体" w:cs="Times New Roman"/>
          <w:bCs/>
          <w:color w:val="000000"/>
          <w:sz w:val="24"/>
          <w:lang w:val="en-US" w:eastAsia="zh-CN"/>
        </w:rPr>
      </w:pPr>
      <w:r>
        <w:rPr>
          <w:rFonts w:hint="eastAsia" w:ascii="Times New Roman" w:hAnsi="Times New Roman" w:eastAsia="宋体" w:cs="Times New Roman"/>
          <w:bCs/>
          <w:color w:val="000000"/>
          <w:sz w:val="24"/>
          <w:lang w:val="en-US" w:eastAsia="zh-CN"/>
        </w:rPr>
        <w:t>（4）6.2.3 检查方法含目测、感官判断、检测工具辅助检查、操作试验，确保全面准确评估设备状态</w:t>
      </w:r>
      <w:r>
        <w:rPr>
          <w:rFonts w:hint="eastAsia" w:cs="Times New Roman"/>
          <w:bCs/>
          <w:color w:val="000000"/>
          <w:sz w:val="24"/>
          <w:lang w:val="en-US" w:eastAsia="zh-CN"/>
        </w:rPr>
        <w:t>。其中，</w:t>
      </w:r>
      <w:r>
        <w:rPr>
          <w:rFonts w:hint="eastAsia" w:ascii="Times New Roman" w:hAnsi="Times New Roman" w:eastAsia="宋体" w:cs="Times New Roman"/>
          <w:bCs/>
          <w:color w:val="000000"/>
          <w:sz w:val="24"/>
          <w:lang w:val="en-US" w:eastAsia="zh-CN"/>
        </w:rPr>
        <w:t>目测用于外观检查，感官判断识别异响、震动、渗漏</w:t>
      </w:r>
      <w:r>
        <w:rPr>
          <w:rFonts w:hint="eastAsia" w:cs="Times New Roman"/>
          <w:bCs/>
          <w:color w:val="000000"/>
          <w:sz w:val="24"/>
          <w:lang w:val="en-US" w:eastAsia="zh-CN"/>
        </w:rPr>
        <w:t>等</w:t>
      </w:r>
      <w:r>
        <w:rPr>
          <w:rFonts w:hint="eastAsia" w:ascii="Times New Roman" w:hAnsi="Times New Roman" w:eastAsia="宋体" w:cs="Times New Roman"/>
          <w:bCs/>
          <w:color w:val="000000"/>
          <w:sz w:val="24"/>
          <w:lang w:val="en-US" w:eastAsia="zh-CN"/>
        </w:rPr>
        <w:t>，工具检测（如扭矩扳手检查、压力表检测等）获取精准数据，操作试验验证装卸臂在运行状态下的性能。</w:t>
      </w:r>
    </w:p>
    <w:p w14:paraId="5EE2DA90">
      <w:pPr>
        <w:pStyle w:val="45"/>
        <w:spacing w:line="360" w:lineRule="auto"/>
        <w:ind w:firstLine="481"/>
        <w:jc w:val="both"/>
        <w:rPr>
          <w:rFonts w:hint="eastAsia" w:ascii="Times New Roman" w:hAnsi="Times New Roman" w:eastAsia="宋体" w:cs="Times New Roman"/>
          <w:bCs/>
          <w:color w:val="000000"/>
          <w:sz w:val="24"/>
          <w:lang w:val="en-US" w:eastAsia="zh-CN"/>
        </w:rPr>
      </w:pPr>
      <w:r>
        <w:rPr>
          <w:rFonts w:hint="eastAsia" w:ascii="Times New Roman" w:hAnsi="Times New Roman" w:eastAsia="宋体" w:cs="Times New Roman"/>
          <w:bCs/>
          <w:color w:val="000000"/>
          <w:sz w:val="24"/>
          <w:lang w:val="en-US" w:eastAsia="zh-CN"/>
        </w:rPr>
        <w:t>（5）6.2.4 规定保养措施含清洁、润滑、紧固、防腐、调试、调整、易损件更换</w:t>
      </w:r>
      <w:r>
        <w:rPr>
          <w:rFonts w:hint="eastAsia" w:cs="Times New Roman"/>
          <w:bCs/>
          <w:color w:val="000000"/>
          <w:sz w:val="24"/>
          <w:lang w:val="en-US" w:eastAsia="zh-CN"/>
        </w:rPr>
        <w:t>等</w:t>
      </w:r>
      <w:r>
        <w:rPr>
          <w:rFonts w:hint="eastAsia" w:ascii="Times New Roman" w:hAnsi="Times New Roman" w:eastAsia="宋体" w:cs="Times New Roman"/>
          <w:bCs/>
          <w:color w:val="000000"/>
          <w:sz w:val="24"/>
          <w:lang w:val="en-US" w:eastAsia="zh-CN"/>
        </w:rPr>
        <w:t>，明确不改变设备原有主体结构和性能参数。</w:t>
      </w:r>
      <w:r>
        <w:rPr>
          <w:rFonts w:hint="eastAsia" w:cs="Times New Roman"/>
          <w:bCs/>
          <w:color w:val="000000"/>
          <w:sz w:val="24"/>
          <w:lang w:val="en-US" w:eastAsia="zh-CN"/>
        </w:rPr>
        <w:t>通过</w:t>
      </w:r>
      <w:r>
        <w:rPr>
          <w:rFonts w:hint="eastAsia" w:ascii="Times New Roman" w:hAnsi="Times New Roman" w:eastAsia="宋体" w:cs="Times New Roman"/>
          <w:bCs/>
          <w:color w:val="000000"/>
          <w:sz w:val="24"/>
          <w:lang w:val="en-US" w:eastAsia="zh-CN"/>
        </w:rPr>
        <w:t>规范保养操作边界，保障保养后设备性能稳定。​</w:t>
      </w:r>
    </w:p>
    <w:p w14:paraId="40BBDAAD">
      <w:pPr>
        <w:pStyle w:val="45"/>
        <w:keepNext w:val="0"/>
        <w:keepLines w:val="0"/>
        <w:pageBreakBefore w:val="0"/>
        <w:widowControl w:val="0"/>
        <w:numPr>
          <w:ilvl w:val="0"/>
          <w:numId w:val="6"/>
        </w:numPr>
        <w:kinsoku/>
        <w:wordWrap/>
        <w:overflowPunct/>
        <w:topLinePunct w:val="0"/>
        <w:autoSpaceDE w:val="0"/>
        <w:autoSpaceDN w:val="0"/>
        <w:bidi w:val="0"/>
        <w:adjustRightInd w:val="0"/>
        <w:snapToGrid/>
        <w:spacing w:line="360" w:lineRule="auto"/>
        <w:ind w:left="0" w:leftChars="0" w:firstLine="480" w:firstLineChars="200"/>
        <w:jc w:val="both"/>
        <w:textAlignment w:val="auto"/>
        <w:outlineLvl w:val="2"/>
        <w:rPr>
          <w:rFonts w:hint="eastAsia" w:cs="Times New Roman" w:asciiTheme="minorEastAsia" w:hAnsiTheme="minorEastAsia" w:eastAsiaTheme="minorEastAsia"/>
          <w:b/>
          <w:color w:val="auto"/>
          <w:kern w:val="2"/>
          <w:lang w:val="en-US" w:eastAsia="zh-CN"/>
        </w:rPr>
      </w:pPr>
      <w:r>
        <w:rPr>
          <w:rFonts w:hint="eastAsia" w:asciiTheme="minorEastAsia" w:hAnsiTheme="minorEastAsia" w:eastAsiaTheme="minorEastAsia"/>
          <w:b/>
          <w:color w:val="auto"/>
          <w:kern w:val="2"/>
          <w:lang w:val="en-US" w:eastAsia="zh-CN"/>
        </w:rPr>
        <w:t xml:space="preserve">第7章 </w:t>
      </w:r>
      <w:r>
        <w:rPr>
          <w:rFonts w:hint="eastAsia" w:cs="Times New Roman" w:asciiTheme="minorEastAsia" w:hAnsiTheme="minorEastAsia" w:eastAsiaTheme="minorEastAsia"/>
          <w:b/>
          <w:color w:val="auto"/>
          <w:kern w:val="2"/>
          <w:lang w:val="en-US" w:eastAsia="zh-CN"/>
        </w:rPr>
        <w:t>保养记录表</w:t>
      </w:r>
    </w:p>
    <w:p w14:paraId="285EB76A">
      <w:pPr>
        <w:pStyle w:val="45"/>
        <w:spacing w:line="360" w:lineRule="auto"/>
        <w:ind w:firstLine="481"/>
        <w:jc w:val="both"/>
        <w:rPr>
          <w:rFonts w:hint="eastAsia" w:ascii="Times New Roman" w:hAnsi="Times New Roman" w:eastAsia="宋体" w:cs="Times New Roman"/>
          <w:bCs/>
          <w:color w:val="000000"/>
          <w:sz w:val="24"/>
          <w:lang w:val="en-US" w:eastAsia="zh-CN"/>
        </w:rPr>
      </w:pPr>
      <w:r>
        <w:rPr>
          <w:rFonts w:hint="eastAsia" w:ascii="Times New Roman" w:hAnsi="Times New Roman" w:eastAsia="宋体" w:cs="Times New Roman"/>
          <w:bCs/>
          <w:color w:val="000000"/>
          <w:sz w:val="24"/>
          <w:lang w:val="en-US" w:eastAsia="zh-CN"/>
        </w:rPr>
        <w:t>（1）7.1 规定装卸臂保养</w:t>
      </w:r>
      <w:r>
        <w:rPr>
          <w:rFonts w:hint="eastAsia" w:cs="Times New Roman"/>
          <w:bCs/>
          <w:color w:val="000000"/>
          <w:sz w:val="24"/>
          <w:lang w:val="en-US" w:eastAsia="zh-CN"/>
        </w:rPr>
        <w:t>时</w:t>
      </w:r>
      <w:r>
        <w:rPr>
          <w:rFonts w:hint="eastAsia" w:ascii="Times New Roman" w:hAnsi="Times New Roman" w:eastAsia="宋体" w:cs="Times New Roman"/>
          <w:bCs/>
          <w:color w:val="000000"/>
          <w:sz w:val="24"/>
          <w:lang w:val="en-US" w:eastAsia="zh-CN"/>
        </w:rPr>
        <w:t>应</w:t>
      </w:r>
      <w:r>
        <w:rPr>
          <w:rFonts w:hint="eastAsia" w:cs="Times New Roman"/>
          <w:bCs/>
          <w:color w:val="000000"/>
          <w:sz w:val="24"/>
          <w:lang w:val="en-US" w:eastAsia="zh-CN"/>
        </w:rPr>
        <w:t>按周期填写附录A中相应的保养记录表</w:t>
      </w:r>
      <w:r>
        <w:rPr>
          <w:rFonts w:hint="eastAsia" w:ascii="Times New Roman" w:hAnsi="Times New Roman" w:eastAsia="宋体" w:cs="Times New Roman"/>
          <w:bCs/>
          <w:color w:val="000000"/>
          <w:sz w:val="24"/>
          <w:lang w:val="en-US" w:eastAsia="zh-CN"/>
        </w:rPr>
        <w:t>，并提出保养记录</w:t>
      </w:r>
      <w:r>
        <w:rPr>
          <w:rFonts w:hint="eastAsia" w:cs="Times New Roman"/>
          <w:bCs/>
          <w:color w:val="000000"/>
          <w:sz w:val="24"/>
          <w:lang w:val="en-US" w:eastAsia="zh-CN"/>
        </w:rPr>
        <w:t>表</w:t>
      </w:r>
      <w:r>
        <w:rPr>
          <w:rFonts w:hint="eastAsia" w:ascii="Times New Roman" w:hAnsi="Times New Roman" w:eastAsia="宋体" w:cs="Times New Roman"/>
          <w:bCs/>
          <w:color w:val="000000"/>
          <w:sz w:val="24"/>
          <w:lang w:val="en-US" w:eastAsia="zh-CN"/>
        </w:rPr>
        <w:t>保管要求。</w:t>
      </w:r>
    </w:p>
    <w:p w14:paraId="3CFD9356">
      <w:pPr>
        <w:pStyle w:val="45"/>
        <w:spacing w:line="360" w:lineRule="auto"/>
        <w:ind w:firstLine="481"/>
        <w:jc w:val="both"/>
        <w:rPr>
          <w:rFonts w:hint="eastAsia" w:ascii="Times New Roman" w:hAnsi="Times New Roman" w:eastAsia="宋体" w:cs="Times New Roman"/>
          <w:bCs/>
          <w:color w:val="000000"/>
          <w:sz w:val="24"/>
          <w:lang w:val="en-US" w:eastAsia="zh-CN"/>
        </w:rPr>
      </w:pPr>
      <w:r>
        <w:rPr>
          <w:rFonts w:hint="eastAsia" w:ascii="Times New Roman" w:hAnsi="Times New Roman" w:eastAsia="宋体" w:cs="Times New Roman"/>
          <w:bCs/>
          <w:color w:val="000000"/>
          <w:sz w:val="24"/>
          <w:lang w:val="en-US" w:eastAsia="zh-CN"/>
        </w:rPr>
        <w:t>（2）7.2 规定对保养中发现的不符合项，应及时采取措施并填写保养报告单，以便及时汇总出现的问题和保养情况，报告单的内容应便于信息的查找。规定了报告单的内容至少包括设备名称、设备编号、保养日期、保养类别、保养项目、检查异常情况、保养措施、保养结果、检查人员和使用单位主管人员签字等。</w:t>
      </w:r>
    </w:p>
    <w:p w14:paraId="1BA6B008">
      <w:pPr>
        <w:pStyle w:val="45"/>
        <w:keepNext w:val="0"/>
        <w:keepLines w:val="0"/>
        <w:pageBreakBefore w:val="0"/>
        <w:widowControl w:val="0"/>
        <w:numPr>
          <w:ilvl w:val="0"/>
          <w:numId w:val="6"/>
        </w:numPr>
        <w:kinsoku/>
        <w:wordWrap/>
        <w:overflowPunct/>
        <w:topLinePunct w:val="0"/>
        <w:autoSpaceDE w:val="0"/>
        <w:autoSpaceDN w:val="0"/>
        <w:bidi w:val="0"/>
        <w:adjustRightInd w:val="0"/>
        <w:snapToGrid/>
        <w:spacing w:line="360" w:lineRule="auto"/>
        <w:ind w:left="0" w:leftChars="0" w:firstLine="480" w:firstLineChars="200"/>
        <w:jc w:val="both"/>
        <w:textAlignment w:val="auto"/>
        <w:outlineLvl w:val="2"/>
        <w:rPr>
          <w:rFonts w:hint="eastAsia" w:cs="Times New Roman" w:asciiTheme="minorEastAsia" w:hAnsiTheme="minorEastAsia" w:eastAsiaTheme="minorEastAsia"/>
          <w:b/>
          <w:color w:val="auto"/>
          <w:kern w:val="2"/>
          <w:lang w:val="en-US" w:eastAsia="zh-CN"/>
        </w:rPr>
      </w:pPr>
      <w:r>
        <w:rPr>
          <w:rFonts w:hint="eastAsia" w:cs="Times New Roman" w:asciiTheme="minorEastAsia" w:hAnsiTheme="minorEastAsia" w:eastAsiaTheme="minorEastAsia"/>
          <w:b/>
          <w:color w:val="auto"/>
          <w:kern w:val="2"/>
          <w:lang w:val="en-US" w:eastAsia="zh-CN"/>
        </w:rPr>
        <w:t>附录A</w:t>
      </w:r>
    </w:p>
    <w:p w14:paraId="5158B0F2">
      <w:pPr>
        <w:widowControl/>
        <w:tabs>
          <w:tab w:val="center" w:pos="4201"/>
          <w:tab w:val="right" w:leader="dot" w:pos="9298"/>
        </w:tabs>
        <w:autoSpaceDE w:val="0"/>
        <w:autoSpaceDN w:val="0"/>
        <w:spacing w:beforeLines="50" w:line="360" w:lineRule="auto"/>
        <w:ind w:firstLine="480" w:firstLineChars="200"/>
        <w:rPr>
          <w:bCs/>
          <w:color w:val="000000"/>
          <w:sz w:val="24"/>
        </w:rPr>
      </w:pPr>
      <w:r>
        <w:rPr>
          <w:rFonts w:hint="eastAsia"/>
          <w:bCs/>
          <w:color w:val="000000"/>
          <w:sz w:val="24"/>
        </w:rPr>
        <w:t>为</w:t>
      </w:r>
      <w:r>
        <w:rPr>
          <w:bCs/>
          <w:color w:val="000000"/>
          <w:sz w:val="24"/>
        </w:rPr>
        <w:t>了便于</w:t>
      </w:r>
      <w:r>
        <w:rPr>
          <w:rFonts w:hint="eastAsia"/>
          <w:bCs/>
          <w:color w:val="000000"/>
          <w:sz w:val="24"/>
          <w:lang w:val="en-US" w:eastAsia="zh-CN"/>
        </w:rPr>
        <w:t>装卸臂</w:t>
      </w:r>
      <w:r>
        <w:rPr>
          <w:bCs/>
          <w:color w:val="000000"/>
          <w:sz w:val="24"/>
        </w:rPr>
        <w:t>的</w:t>
      </w:r>
      <w:r>
        <w:rPr>
          <w:rFonts w:hint="eastAsia"/>
          <w:bCs/>
          <w:color w:val="000000"/>
          <w:sz w:val="24"/>
          <w:lang w:val="en-US" w:eastAsia="zh-CN"/>
        </w:rPr>
        <w:t>保养与记录</w:t>
      </w:r>
      <w:r>
        <w:rPr>
          <w:bCs/>
          <w:color w:val="000000"/>
          <w:sz w:val="24"/>
        </w:rPr>
        <w:t>，附录</w:t>
      </w:r>
      <w:r>
        <w:rPr>
          <w:rFonts w:hint="eastAsia"/>
          <w:bCs/>
          <w:color w:val="000000"/>
          <w:sz w:val="24"/>
        </w:rPr>
        <w:t>A中的表A.1-表A.</w:t>
      </w:r>
      <w:r>
        <w:rPr>
          <w:rFonts w:hint="eastAsia"/>
          <w:bCs/>
          <w:color w:val="000000"/>
          <w:sz w:val="24"/>
          <w:lang w:val="en-US" w:eastAsia="zh-CN"/>
        </w:rPr>
        <w:t>5</w:t>
      </w:r>
      <w:r>
        <w:rPr>
          <w:rFonts w:hint="eastAsia"/>
          <w:bCs/>
          <w:color w:val="000000"/>
          <w:sz w:val="24"/>
        </w:rPr>
        <w:t>“液体散货码头装卸臂保养记录表”</w:t>
      </w:r>
      <w:r>
        <w:rPr>
          <w:rFonts w:hint="eastAsia"/>
          <w:bCs/>
          <w:color w:val="000000"/>
          <w:sz w:val="24"/>
          <w:lang w:eastAsia="zh-CN"/>
        </w:rPr>
        <w:t>，</w:t>
      </w:r>
      <w:r>
        <w:rPr>
          <w:rFonts w:hint="eastAsia"/>
          <w:bCs/>
          <w:color w:val="000000"/>
          <w:sz w:val="24"/>
          <w:lang w:val="en-US" w:eastAsia="zh-CN"/>
        </w:rPr>
        <w:t>依据</w:t>
      </w:r>
      <w:r>
        <w:rPr>
          <w:rFonts w:hint="eastAsia" w:ascii="Times New Roman" w:hAnsi="Times New Roman" w:eastAsia="宋体" w:cs="Times New Roman"/>
          <w:bCs/>
          <w:color w:val="000000"/>
          <w:sz w:val="24"/>
          <w:lang w:val="en-US" w:eastAsia="zh-CN"/>
        </w:rPr>
        <w:t>GB/T 3766《液压传动系统及其元件的通用规则和安全要求》、GB/T 3836.2《爆炸性环境 第2部分：由隔爆外壳"d"保护的设备》、GB/T 3836.3《爆炸性环境 第3部分：由增安型"e"保护的设备》、GB/T 3836.4《爆炸性环境 第4部分：由本质安全型"i"保护的设备》等标准的有关要求，结合港口企业</w:t>
      </w:r>
      <w:r>
        <w:rPr>
          <w:rFonts w:hint="eastAsia" w:cs="Times New Roman"/>
          <w:bCs/>
          <w:color w:val="000000"/>
          <w:sz w:val="24"/>
          <w:lang w:val="en-US" w:eastAsia="zh-CN"/>
        </w:rPr>
        <w:t>及</w:t>
      </w:r>
      <w:r>
        <w:rPr>
          <w:rFonts w:hint="eastAsia" w:ascii="Times New Roman" w:hAnsi="Times New Roman" w:eastAsia="宋体" w:cs="Times New Roman"/>
          <w:bCs/>
          <w:color w:val="000000"/>
          <w:sz w:val="24"/>
          <w:lang w:val="en-US" w:eastAsia="zh-CN"/>
        </w:rPr>
        <w:t>装卸臂生产</w:t>
      </w:r>
      <w:r>
        <w:rPr>
          <w:rFonts w:hint="eastAsia" w:cs="Times New Roman"/>
          <w:bCs/>
          <w:color w:val="000000"/>
          <w:sz w:val="24"/>
          <w:lang w:val="en-US" w:eastAsia="zh-CN"/>
        </w:rPr>
        <w:t>、</w:t>
      </w:r>
      <w:r>
        <w:rPr>
          <w:rFonts w:hint="eastAsia" w:ascii="Times New Roman" w:hAnsi="Times New Roman" w:eastAsia="宋体" w:cs="Times New Roman"/>
          <w:bCs/>
          <w:color w:val="000000"/>
          <w:sz w:val="24"/>
          <w:lang w:val="en-US" w:eastAsia="zh-CN"/>
        </w:rPr>
        <w:t>保养企业</w:t>
      </w:r>
      <w:r>
        <w:rPr>
          <w:rFonts w:hint="eastAsia" w:cs="Times New Roman"/>
          <w:bCs/>
          <w:color w:val="000000"/>
          <w:sz w:val="24"/>
          <w:lang w:val="en-US" w:eastAsia="zh-CN"/>
        </w:rPr>
        <w:t>的实践经验，明确</w:t>
      </w:r>
      <w:r>
        <w:rPr>
          <w:rFonts w:hint="eastAsia" w:ascii="Times New Roman" w:hAnsi="Times New Roman" w:eastAsia="宋体" w:cs="Times New Roman"/>
          <w:bCs/>
          <w:color w:val="000000"/>
          <w:sz w:val="24"/>
          <w:lang w:val="en-US" w:eastAsia="zh-CN"/>
        </w:rPr>
        <w:t>了装卸臂日常、月度、季度、半年度、年度保养</w:t>
      </w:r>
      <w:r>
        <w:rPr>
          <w:rFonts w:hint="eastAsia" w:cs="Times New Roman"/>
          <w:bCs/>
          <w:color w:val="000000"/>
          <w:sz w:val="24"/>
          <w:lang w:val="en-US" w:eastAsia="zh-CN"/>
        </w:rPr>
        <w:t>的</w:t>
      </w:r>
      <w:r>
        <w:rPr>
          <w:rFonts w:hint="eastAsia" w:ascii="Times New Roman" w:hAnsi="Times New Roman" w:eastAsia="宋体" w:cs="Times New Roman"/>
          <w:bCs/>
          <w:color w:val="000000"/>
          <w:sz w:val="24"/>
          <w:lang w:val="en-US" w:eastAsia="zh-CN"/>
        </w:rPr>
        <w:t>保养项目、</w:t>
      </w:r>
      <w:r>
        <w:rPr>
          <w:rFonts w:hint="eastAsia"/>
          <w:bCs/>
          <w:color w:val="000000"/>
          <w:sz w:val="24"/>
        </w:rPr>
        <w:t>检查内容、</w:t>
      </w:r>
      <w:r>
        <w:rPr>
          <w:rFonts w:hint="eastAsia"/>
          <w:bCs/>
          <w:color w:val="000000"/>
          <w:sz w:val="24"/>
          <w:lang w:val="en-US" w:eastAsia="zh-CN"/>
        </w:rPr>
        <w:t>检查工况、</w:t>
      </w:r>
      <w:r>
        <w:rPr>
          <w:rFonts w:hint="eastAsia"/>
          <w:bCs/>
          <w:color w:val="000000"/>
          <w:sz w:val="24"/>
        </w:rPr>
        <w:t>检查方法</w:t>
      </w:r>
      <w:r>
        <w:rPr>
          <w:rFonts w:hint="eastAsia"/>
          <w:bCs/>
          <w:color w:val="000000"/>
          <w:sz w:val="24"/>
          <w:lang w:val="en-US" w:eastAsia="zh-CN"/>
        </w:rPr>
        <w:t>及保养措施</w:t>
      </w:r>
      <w:r>
        <w:rPr>
          <w:bCs/>
          <w:color w:val="000000"/>
          <w:sz w:val="24"/>
        </w:rPr>
        <w:t>，并要求记录</w:t>
      </w:r>
      <w:r>
        <w:rPr>
          <w:rFonts w:hint="eastAsia"/>
          <w:bCs/>
          <w:color w:val="000000"/>
          <w:sz w:val="24"/>
        </w:rPr>
        <w:t>检查</w:t>
      </w:r>
      <w:r>
        <w:rPr>
          <w:rFonts w:hint="eastAsia"/>
          <w:bCs/>
          <w:color w:val="000000"/>
          <w:sz w:val="24"/>
          <w:lang w:val="en-US" w:eastAsia="zh-CN"/>
        </w:rPr>
        <w:t>保养</w:t>
      </w:r>
      <w:r>
        <w:rPr>
          <w:bCs/>
          <w:color w:val="000000"/>
          <w:sz w:val="24"/>
        </w:rPr>
        <w:t>结果。</w:t>
      </w:r>
    </w:p>
    <w:p w14:paraId="08A4471D">
      <w:pPr>
        <w:pStyle w:val="45"/>
        <w:keepNext w:val="0"/>
        <w:keepLines w:val="0"/>
        <w:pageBreakBefore w:val="0"/>
        <w:widowControl w:val="0"/>
        <w:numPr>
          <w:ilvl w:val="0"/>
          <w:numId w:val="6"/>
        </w:numPr>
        <w:kinsoku/>
        <w:wordWrap/>
        <w:overflowPunct/>
        <w:topLinePunct w:val="0"/>
        <w:autoSpaceDE w:val="0"/>
        <w:autoSpaceDN w:val="0"/>
        <w:bidi w:val="0"/>
        <w:adjustRightInd w:val="0"/>
        <w:snapToGrid/>
        <w:spacing w:line="360" w:lineRule="auto"/>
        <w:ind w:left="0" w:leftChars="0" w:firstLine="480" w:firstLineChars="200"/>
        <w:jc w:val="both"/>
        <w:textAlignment w:val="auto"/>
        <w:outlineLvl w:val="2"/>
        <w:rPr>
          <w:rFonts w:hint="eastAsia" w:cs="Times New Roman" w:asciiTheme="minorEastAsia" w:hAnsiTheme="minorEastAsia" w:eastAsiaTheme="minorEastAsia"/>
          <w:b/>
          <w:color w:val="auto"/>
          <w:kern w:val="2"/>
          <w:lang w:val="en-US" w:eastAsia="zh-CN"/>
        </w:rPr>
      </w:pPr>
      <w:r>
        <w:rPr>
          <w:rFonts w:hint="eastAsia" w:cs="Times New Roman" w:asciiTheme="minorEastAsia" w:hAnsiTheme="minorEastAsia" w:eastAsiaTheme="minorEastAsia"/>
          <w:b/>
          <w:color w:val="auto"/>
          <w:kern w:val="2"/>
          <w:lang w:val="en-US" w:eastAsia="zh-CN"/>
        </w:rPr>
        <w:t>附录B</w:t>
      </w:r>
    </w:p>
    <w:p w14:paraId="6B11BA0C">
      <w:pPr>
        <w:widowControl/>
        <w:tabs>
          <w:tab w:val="center" w:pos="4201"/>
          <w:tab w:val="right" w:leader="dot" w:pos="9298"/>
        </w:tabs>
        <w:autoSpaceDE w:val="0"/>
        <w:autoSpaceDN w:val="0"/>
        <w:spacing w:beforeLines="50" w:line="360" w:lineRule="auto"/>
        <w:ind w:firstLine="480" w:firstLineChars="200"/>
        <w:rPr>
          <w:bCs/>
          <w:color w:val="000000"/>
          <w:sz w:val="24"/>
        </w:rPr>
      </w:pPr>
      <w:r>
        <w:rPr>
          <w:rFonts w:hint="eastAsia"/>
          <w:bCs/>
          <w:color w:val="000000"/>
          <w:sz w:val="24"/>
        </w:rPr>
        <w:t>根据实用性及后续问题追溯需求</w:t>
      </w:r>
      <w:r>
        <w:rPr>
          <w:rFonts w:hint="eastAsia"/>
          <w:bCs/>
          <w:color w:val="000000"/>
          <w:sz w:val="24"/>
          <w:lang w:eastAsia="zh-CN"/>
        </w:rPr>
        <w:t>，</w:t>
      </w:r>
      <w:r>
        <w:rPr>
          <w:bCs/>
          <w:color w:val="000000"/>
          <w:sz w:val="24"/>
        </w:rPr>
        <w:t>附录</w:t>
      </w:r>
      <w:r>
        <w:rPr>
          <w:rFonts w:hint="eastAsia"/>
          <w:bCs/>
          <w:color w:val="000000"/>
          <w:sz w:val="24"/>
        </w:rPr>
        <w:t>B表B.1“液体散货码头装卸臂保养报告单”中</w:t>
      </w:r>
      <w:r>
        <w:rPr>
          <w:rFonts w:hint="eastAsia"/>
          <w:bCs/>
          <w:color w:val="000000"/>
          <w:sz w:val="24"/>
          <w:lang w:val="en-US" w:eastAsia="zh-CN"/>
        </w:rPr>
        <w:t>提供了装卸臂</w:t>
      </w:r>
      <w:r>
        <w:rPr>
          <w:bCs/>
          <w:color w:val="000000"/>
          <w:sz w:val="24"/>
        </w:rPr>
        <w:t>检报告</w:t>
      </w:r>
      <w:r>
        <w:rPr>
          <w:rFonts w:hint="eastAsia"/>
          <w:bCs/>
          <w:color w:val="000000"/>
          <w:sz w:val="24"/>
        </w:rPr>
        <w:t>单</w:t>
      </w:r>
      <w:r>
        <w:rPr>
          <w:bCs/>
          <w:color w:val="000000"/>
          <w:sz w:val="24"/>
        </w:rPr>
        <w:t>的</w:t>
      </w:r>
      <w:r>
        <w:rPr>
          <w:rFonts w:hint="eastAsia"/>
          <w:bCs/>
          <w:color w:val="000000"/>
          <w:sz w:val="24"/>
          <w:lang w:val="en-US" w:eastAsia="zh-CN"/>
        </w:rPr>
        <w:t>参考</w:t>
      </w:r>
      <w:r>
        <w:rPr>
          <w:rFonts w:hint="eastAsia"/>
          <w:bCs/>
          <w:color w:val="000000"/>
          <w:sz w:val="24"/>
        </w:rPr>
        <w:t>形式</w:t>
      </w:r>
      <w:r>
        <w:rPr>
          <w:bCs/>
          <w:color w:val="000000"/>
          <w:sz w:val="24"/>
        </w:rPr>
        <w:t>及内容</w:t>
      </w:r>
      <w:r>
        <w:rPr>
          <w:rFonts w:hint="eastAsia"/>
          <w:bCs/>
          <w:color w:val="000000"/>
          <w:sz w:val="24"/>
        </w:rPr>
        <w:t>，内容涵盖保养类别、使用单位、设备信息、保养情况（检查内容、异常结果、保养措施、结果等），便于汇总问题和追溯保养情况</w:t>
      </w:r>
      <w:r>
        <w:rPr>
          <w:bCs/>
          <w:color w:val="000000"/>
          <w:sz w:val="24"/>
        </w:rPr>
        <w:t>。</w:t>
      </w:r>
    </w:p>
    <w:p w14:paraId="07530596">
      <w:pPr>
        <w:pStyle w:val="2"/>
        <w:spacing w:before="0" w:after="0" w:line="360" w:lineRule="auto"/>
        <w:ind w:firstLine="480" w:firstLineChars="200"/>
        <w:jc w:val="both"/>
        <w:rPr>
          <w:rFonts w:eastAsiaTheme="minorEastAsia"/>
          <w:sz w:val="24"/>
          <w:szCs w:val="24"/>
        </w:rPr>
      </w:pPr>
      <w:bookmarkStart w:id="12" w:name="_Toc486780489"/>
      <w:bookmarkStart w:id="13" w:name="_Toc31421"/>
      <w:bookmarkStart w:id="14" w:name="_Toc196322268"/>
      <w:bookmarkStart w:id="15" w:name="_Toc8092"/>
      <w:bookmarkStart w:id="16" w:name="_Toc15986"/>
      <w:bookmarkStart w:id="17" w:name="_Toc27300"/>
      <w:r>
        <w:rPr>
          <w:rFonts w:hint="eastAsia" w:eastAsiaTheme="minorEastAsia"/>
          <w:sz w:val="24"/>
          <w:szCs w:val="24"/>
        </w:rPr>
        <w:t>三、</w:t>
      </w:r>
      <w:bookmarkEnd w:id="12"/>
      <w:r>
        <w:rPr>
          <w:rFonts w:ascii="宋体" w:hAnsi="宋体"/>
          <w:sz w:val="24"/>
          <w:szCs w:val="24"/>
        </w:rPr>
        <w:t>试验验证的分析</w:t>
      </w:r>
      <w:r>
        <w:rPr>
          <w:rFonts w:hint="eastAsia" w:ascii="宋体" w:hAnsi="宋体"/>
          <w:sz w:val="24"/>
          <w:szCs w:val="24"/>
        </w:rPr>
        <w:t>、</w:t>
      </w:r>
      <w:r>
        <w:rPr>
          <w:rFonts w:hint="eastAsia" w:eastAsiaTheme="minorEastAsia"/>
          <w:sz w:val="24"/>
          <w:szCs w:val="24"/>
        </w:rPr>
        <w:t>预期的经济效益、社会效益</w:t>
      </w:r>
      <w:bookmarkEnd w:id="13"/>
      <w:bookmarkEnd w:id="14"/>
      <w:bookmarkEnd w:id="15"/>
      <w:bookmarkEnd w:id="16"/>
      <w:bookmarkEnd w:id="17"/>
    </w:p>
    <w:p w14:paraId="42AC5728">
      <w:pPr>
        <w:spacing w:line="360" w:lineRule="auto"/>
        <w:ind w:firstLine="480" w:firstLineChars="200"/>
        <w:jc w:val="left"/>
        <w:outlineLvl w:val="1"/>
        <w:rPr>
          <w:rFonts w:hint="eastAsia" w:ascii="Times New Roman" w:hAnsi="Times New Roman" w:cs="Times New Roman" w:eastAsiaTheme="minorEastAsia"/>
          <w:b/>
          <w:i w:val="0"/>
          <w:iCs w:val="0"/>
          <w:caps w:val="0"/>
          <w:color w:val="auto"/>
          <w:spacing w:val="0"/>
          <w:sz w:val="24"/>
          <w:szCs w:val="24"/>
          <w:shd w:val="clear" w:fill="auto"/>
          <w:lang w:val="en-US" w:eastAsia="zh-CN"/>
        </w:rPr>
      </w:pPr>
      <w:bookmarkStart w:id="18" w:name="_Hlk56693447"/>
      <w:bookmarkStart w:id="19" w:name="_Hlk56693429"/>
      <w:r>
        <w:rPr>
          <w:rFonts w:hint="eastAsia" w:ascii="Times New Roman" w:hAnsi="Times New Roman" w:cs="Times New Roman" w:eastAsiaTheme="minorEastAsia"/>
          <w:b/>
          <w:i w:val="0"/>
          <w:iCs w:val="0"/>
          <w:caps w:val="0"/>
          <w:color w:val="auto"/>
          <w:spacing w:val="0"/>
          <w:sz w:val="24"/>
          <w:szCs w:val="24"/>
          <w:shd w:val="clear" w:fill="auto"/>
          <w:lang w:val="en-US" w:eastAsia="zh-CN"/>
        </w:rPr>
        <w:t>（一）试验验证的分析</w:t>
      </w:r>
    </w:p>
    <w:p w14:paraId="32416C2F">
      <w:pPr>
        <w:spacing w:line="360" w:lineRule="auto"/>
        <w:ind w:firstLine="480" w:firstLineChars="200"/>
        <w:jc w:val="both"/>
        <w:rPr>
          <w:rFonts w:hint="eastAsia" w:asciiTheme="minorEastAsia" w:hAnsiTheme="minorEastAsia" w:eastAsiaTheme="minorEastAsia"/>
          <w:sz w:val="24"/>
          <w:lang w:eastAsia="zh-CN"/>
        </w:rPr>
      </w:pPr>
      <w:r>
        <w:rPr>
          <w:rFonts w:hint="eastAsia" w:asciiTheme="minorEastAsia" w:hAnsiTheme="minorEastAsia" w:eastAsiaTheme="minorEastAsia"/>
          <w:sz w:val="24"/>
        </w:rPr>
        <w:t>本标准在制定过程中，</w:t>
      </w:r>
      <w:r>
        <w:rPr>
          <w:rFonts w:hint="eastAsia" w:ascii="宋体" w:hAnsi="宋体" w:cs="Times New Roman"/>
          <w:i w:val="0"/>
          <w:iCs w:val="0"/>
          <w:caps w:val="0"/>
          <w:color w:val="auto"/>
          <w:spacing w:val="0"/>
          <w:sz w:val="24"/>
          <w:szCs w:val="24"/>
          <w:shd w:val="clear" w:fill="auto"/>
          <w:lang w:val="en-US" w:eastAsia="zh-CN"/>
        </w:rPr>
        <w:t>编制组重点针对标准提出的保养周期设置和保养项目内容，开展了多维度验证。编制组基于装卸臂使用、保养企业的实践经验，结合液体散货码头装卸臂的实际工况，通过对主机、液压系统和电气系统等关键部位的性能测试与功能验证，评估了保养项目的完整性和可操作性；通过不同周期下的对比试验，验证了保养周期设置的合理性；通过现场实操测试，确认了检查方法和保养措施的科学性、</w:t>
      </w:r>
      <w:r>
        <w:rPr>
          <w:rFonts w:hint="eastAsia" w:asciiTheme="minorEastAsia" w:hAnsiTheme="minorEastAsia" w:eastAsiaTheme="minorEastAsia"/>
          <w:sz w:val="24"/>
        </w:rPr>
        <w:t>可靠性和</w:t>
      </w:r>
      <w:r>
        <w:rPr>
          <w:rFonts w:hint="eastAsia" w:ascii="宋体" w:hAnsi="宋体" w:cs="Times New Roman"/>
          <w:i w:val="0"/>
          <w:iCs w:val="0"/>
          <w:caps w:val="0"/>
          <w:color w:val="auto"/>
          <w:spacing w:val="0"/>
          <w:sz w:val="24"/>
          <w:szCs w:val="24"/>
          <w:shd w:val="clear" w:fill="auto"/>
          <w:lang w:val="en-US" w:eastAsia="zh-CN"/>
        </w:rPr>
        <w:t>可行性</w:t>
      </w:r>
      <w:r>
        <w:rPr>
          <w:rFonts w:hint="eastAsia" w:asciiTheme="minorEastAsia" w:hAnsiTheme="minorEastAsia" w:eastAsiaTheme="minorEastAsia"/>
          <w:sz w:val="24"/>
          <w:lang w:eastAsia="zh-CN"/>
        </w:rPr>
        <w:t>。</w:t>
      </w:r>
    </w:p>
    <w:p w14:paraId="37DEE271">
      <w:pPr>
        <w:spacing w:line="360" w:lineRule="auto"/>
        <w:ind w:firstLine="480" w:firstLineChars="200"/>
        <w:jc w:val="left"/>
        <w:outlineLvl w:val="1"/>
        <w:rPr>
          <w:rFonts w:hint="eastAsia" w:ascii="Times New Roman" w:hAnsi="Times New Roman" w:cs="Times New Roman" w:eastAsiaTheme="minorEastAsia"/>
          <w:b/>
          <w:i w:val="0"/>
          <w:iCs w:val="0"/>
          <w:caps w:val="0"/>
          <w:color w:val="auto"/>
          <w:spacing w:val="0"/>
          <w:sz w:val="24"/>
          <w:szCs w:val="24"/>
          <w:shd w:val="clear" w:fill="auto"/>
          <w:lang w:val="en-US" w:eastAsia="zh-CN"/>
        </w:rPr>
      </w:pPr>
      <w:r>
        <w:rPr>
          <w:rFonts w:hint="eastAsia" w:ascii="Times New Roman" w:hAnsi="Times New Roman" w:cs="Times New Roman" w:eastAsiaTheme="minorEastAsia"/>
          <w:b/>
          <w:i w:val="0"/>
          <w:iCs w:val="0"/>
          <w:caps w:val="0"/>
          <w:color w:val="auto"/>
          <w:spacing w:val="0"/>
          <w:sz w:val="24"/>
          <w:szCs w:val="24"/>
          <w:shd w:val="clear" w:fill="auto"/>
          <w:lang w:val="en-US" w:eastAsia="zh-CN"/>
        </w:rPr>
        <w:t>（二）预期的经济效益、社会效益</w:t>
      </w:r>
    </w:p>
    <w:p w14:paraId="609C7083">
      <w:pPr>
        <w:spacing w:line="360" w:lineRule="auto"/>
        <w:ind w:firstLine="480" w:firstLineChars="200"/>
        <w:jc w:val="both"/>
        <w:rPr>
          <w:rFonts w:hint="eastAsia" w:ascii="宋体" w:hAnsi="宋体" w:eastAsia="宋体" w:cs="Times New Roman"/>
          <w:i w:val="0"/>
          <w:iCs w:val="0"/>
          <w:caps w:val="0"/>
          <w:color w:val="auto"/>
          <w:spacing w:val="0"/>
          <w:sz w:val="24"/>
          <w:szCs w:val="24"/>
          <w:shd w:val="clear" w:fill="auto"/>
          <w:lang w:val="en-US" w:eastAsia="zh-CN"/>
        </w:rPr>
      </w:pPr>
      <w:r>
        <w:rPr>
          <w:rFonts w:hint="eastAsia" w:ascii="宋体" w:hAnsi="宋体" w:eastAsia="宋体" w:cs="Times New Roman"/>
          <w:i w:val="0"/>
          <w:iCs w:val="0"/>
          <w:caps w:val="0"/>
          <w:color w:val="auto"/>
          <w:spacing w:val="0"/>
          <w:sz w:val="24"/>
          <w:szCs w:val="24"/>
          <w:shd w:val="clear" w:fill="auto"/>
          <w:lang w:val="en-US" w:eastAsia="zh-CN"/>
        </w:rPr>
        <w:t>液体散货码头装卸臂作为码头与船舶对接装卸液体介质的关键设备，在液化品码头作业中扮演着重要角色。其灵活的操作性能、广泛的适用性以及高度的自动化水平，不仅极大地提升了装卸作业的效率，还通过精密的控制系统和先进的密封技术，有效确保了流体介质在装卸过程中的安全无泄漏，对环境和作业人员的安全起到了至关重要的保护作用。随着全球贸易的蓬勃发展和港口吞吐量的急剧攀升，装卸臂的应用范围日益广泛，涵盖了从大型油轮、液化气船到小型化学品船等各类船舶，以及原油、成品油、液化天然气（LNG）、液化石油气（LPG）等多种流体介质。</w:t>
      </w:r>
    </w:p>
    <w:p w14:paraId="1714B75E">
      <w:pPr>
        <w:spacing w:line="360" w:lineRule="auto"/>
        <w:ind w:firstLine="480" w:firstLineChars="200"/>
        <w:jc w:val="both"/>
        <w:rPr>
          <w:rFonts w:hint="eastAsia" w:ascii="宋体" w:hAnsi="宋体" w:eastAsia="宋体" w:cs="Times New Roman"/>
          <w:i w:val="0"/>
          <w:iCs w:val="0"/>
          <w:caps w:val="0"/>
          <w:color w:val="auto"/>
          <w:spacing w:val="0"/>
          <w:sz w:val="24"/>
          <w:szCs w:val="24"/>
          <w:shd w:val="clear" w:fill="auto"/>
          <w:lang w:val="en-US" w:eastAsia="zh-CN"/>
        </w:rPr>
      </w:pPr>
      <w:r>
        <w:rPr>
          <w:rFonts w:hint="eastAsia" w:ascii="宋体" w:hAnsi="宋体" w:eastAsia="宋体" w:cs="Times New Roman"/>
          <w:i w:val="0"/>
          <w:iCs w:val="0"/>
          <w:caps w:val="0"/>
          <w:color w:val="auto"/>
          <w:spacing w:val="0"/>
          <w:sz w:val="24"/>
          <w:szCs w:val="24"/>
          <w:shd w:val="clear" w:fill="auto"/>
          <w:lang w:val="en-US" w:eastAsia="zh-CN"/>
        </w:rPr>
        <w:t>然而，装卸臂长期暴露于高腐蚀性介质、复杂海洋环境及高频次作业工况下，导致装卸臂面临腐蚀加速、结构老化、疲劳损伤等多重风险挑战，显著增加泄漏、断裂等安全事故发生概率，对港口作业、生态环境和人员安全构成严重威胁。科学规范的开展装卸臂保养，已成为保障港口作业安全、提升设备全生命周期效能的迫切需求。</w:t>
      </w:r>
    </w:p>
    <w:p w14:paraId="39FADEBE">
      <w:pPr>
        <w:spacing w:line="360" w:lineRule="auto"/>
        <w:ind w:firstLine="480" w:firstLineChars="200"/>
        <w:jc w:val="both"/>
        <w:rPr>
          <w:rFonts w:hint="eastAsia" w:ascii="宋体" w:hAnsi="宋体" w:eastAsia="宋体" w:cs="Times New Roman"/>
          <w:i w:val="0"/>
          <w:iCs w:val="0"/>
          <w:caps w:val="0"/>
          <w:color w:val="auto"/>
          <w:spacing w:val="0"/>
          <w:sz w:val="24"/>
          <w:szCs w:val="24"/>
          <w:shd w:val="clear" w:fill="auto"/>
          <w:lang w:val="en-US" w:eastAsia="zh-CN"/>
        </w:rPr>
      </w:pPr>
      <w:r>
        <w:rPr>
          <w:rFonts w:hint="eastAsia" w:ascii="宋体" w:hAnsi="宋体" w:eastAsia="宋体" w:cs="Times New Roman"/>
          <w:i w:val="0"/>
          <w:iCs w:val="0"/>
          <w:caps w:val="0"/>
          <w:color w:val="auto"/>
          <w:spacing w:val="0"/>
          <w:sz w:val="24"/>
          <w:szCs w:val="24"/>
          <w:shd w:val="clear" w:fill="auto"/>
          <w:lang w:val="en-US" w:eastAsia="zh-CN"/>
        </w:rPr>
        <w:t>鉴于液体散货码头装卸臂作为核心装卸设备，其安全稳定运行直接关系到港口作业效率与安全生产大局，而当前保养技术标准化方面却存在诸多不足。一是现行保养标准多聚焦于通用性技术要求，缺乏对液化码头特殊工况的针对性指导。另一方面，由于在保养周期设定、保养项目与部件、核心部件检测更换、专业操作规范等方面缺乏统一技术标准，虽然现阶段各个单位都会内部对装卸臂进行维护保养工作，但保养工作各港口装卸臂保养工作过度依赖设备厂商指导文件或传统经验，加之从业人员专业素养参差不齐，导致保养质量难以保障，设备故障频发，安全隐患突出。为破解这一行业共性问题，亟需构建系统化保养技术标准体系。</w:t>
      </w:r>
    </w:p>
    <w:p w14:paraId="31DA10B3">
      <w:pPr>
        <w:spacing w:line="360" w:lineRule="auto"/>
        <w:ind w:firstLine="480" w:firstLineChars="200"/>
        <w:jc w:val="both"/>
        <w:rPr>
          <w:rFonts w:hint="eastAsia" w:ascii="宋体" w:hAnsi="宋体" w:eastAsia="宋体" w:cs="Times New Roman"/>
          <w:i w:val="0"/>
          <w:iCs w:val="0"/>
          <w:caps w:val="0"/>
          <w:color w:val="auto"/>
          <w:spacing w:val="0"/>
          <w:sz w:val="24"/>
          <w:szCs w:val="24"/>
          <w:shd w:val="clear" w:fill="auto"/>
          <w:lang w:val="en-US" w:eastAsia="zh-CN"/>
        </w:rPr>
      </w:pPr>
      <w:r>
        <w:rPr>
          <w:rFonts w:hint="eastAsia" w:ascii="宋体" w:hAnsi="宋体" w:eastAsia="宋体" w:cs="Times New Roman"/>
          <w:i w:val="0"/>
          <w:iCs w:val="0"/>
          <w:caps w:val="0"/>
          <w:color w:val="auto"/>
          <w:spacing w:val="0"/>
          <w:sz w:val="24"/>
          <w:szCs w:val="24"/>
          <w:shd w:val="clear" w:fill="auto"/>
          <w:lang w:val="en-US" w:eastAsia="zh-CN"/>
        </w:rPr>
        <w:t>通过</w:t>
      </w:r>
      <w:r>
        <w:rPr>
          <w:rFonts w:hint="eastAsia" w:ascii="宋体" w:hAnsi="宋体" w:eastAsia="宋体" w:cs="Times New Roman"/>
          <w:i w:val="0"/>
          <w:iCs w:val="0"/>
          <w:caps w:val="0"/>
          <w:color w:val="auto"/>
          <w:spacing w:val="0"/>
          <w:sz w:val="24"/>
          <w:szCs w:val="24"/>
          <w:shd w:val="clear" w:fill="auto"/>
          <w:lang w:val="zh-CN" w:eastAsia="zh-CN"/>
        </w:rPr>
        <w:t>本</w:t>
      </w:r>
      <w:r>
        <w:rPr>
          <w:rFonts w:hint="eastAsia" w:ascii="宋体" w:hAnsi="宋体" w:eastAsia="宋体" w:cs="Times New Roman"/>
          <w:i w:val="0"/>
          <w:iCs w:val="0"/>
          <w:caps w:val="0"/>
          <w:color w:val="auto"/>
          <w:spacing w:val="0"/>
          <w:sz w:val="24"/>
          <w:szCs w:val="24"/>
          <w:shd w:val="clear" w:fill="auto"/>
          <w:lang w:val="en-US" w:eastAsia="zh-CN"/>
        </w:rPr>
        <w:t>标准的制定，明确液体散货码头装卸臂保养一般要求、保养周期、保养内容与方法、保养记录等要求，建立统一的液体散货码头装卸臂保养技术要求，为装卸臂保养工作提供科学、清晰的指引与依据，提高保养工作的规范性与安全性，推动保养模式从“被动维修”向“主动预防”转型，及时消除安全隐患，延长装卸臂使用寿命，确保港口安全稳定运行。同时，通过本标准，为政府部门制定液体散货码头安全管理政策提供技术支撑与参考，有助于政府部门加强对港口企业的安全监管，有助于引导港口企业建立规范的装备保养流程，全面提升港口的整体安全水平，促进港口健康持续发展。</w:t>
      </w:r>
    </w:p>
    <w:p w14:paraId="47C24802">
      <w:pPr>
        <w:spacing w:line="360" w:lineRule="auto"/>
        <w:ind w:firstLine="480" w:firstLineChars="200"/>
        <w:jc w:val="both"/>
        <w:rPr>
          <w:rFonts w:hint="eastAsia" w:ascii="宋体" w:hAnsi="宋体" w:eastAsia="宋体" w:cs="Times New Roman"/>
          <w:i w:val="0"/>
          <w:iCs w:val="0"/>
          <w:caps w:val="0"/>
          <w:color w:val="auto"/>
          <w:spacing w:val="0"/>
          <w:sz w:val="24"/>
          <w:szCs w:val="24"/>
          <w:shd w:val="clear" w:fill="auto"/>
          <w:lang w:val="en-US" w:eastAsia="zh-CN"/>
        </w:rPr>
      </w:pPr>
    </w:p>
    <w:bookmarkEnd w:id="18"/>
    <w:bookmarkEnd w:id="19"/>
    <w:p w14:paraId="585EEFE3">
      <w:pPr>
        <w:pStyle w:val="2"/>
        <w:spacing w:before="0" w:after="0" w:line="360" w:lineRule="auto"/>
        <w:ind w:firstLine="480" w:firstLineChars="200"/>
        <w:rPr>
          <w:rFonts w:asciiTheme="minorEastAsia" w:hAnsiTheme="minorEastAsia" w:eastAsiaTheme="minorEastAsia"/>
          <w:sz w:val="24"/>
          <w:szCs w:val="24"/>
        </w:rPr>
      </w:pPr>
      <w:bookmarkStart w:id="20" w:name="_Toc486780490"/>
      <w:bookmarkStart w:id="21" w:name="_Toc21718"/>
      <w:bookmarkStart w:id="22" w:name="_Toc7986"/>
      <w:bookmarkStart w:id="23" w:name="_Toc6271"/>
      <w:bookmarkStart w:id="24" w:name="_Toc196322269"/>
      <w:bookmarkStart w:id="25" w:name="_Toc9409"/>
      <w:r>
        <w:rPr>
          <w:rFonts w:hint="eastAsia" w:ascii="Times New Roman" w:hAnsi="Times New Roman" w:cs="Times New Roman" w:eastAsiaTheme="minorEastAsia"/>
          <w:sz w:val="24"/>
          <w:szCs w:val="24"/>
          <w:lang w:val="en-US" w:eastAsia="zh-CN"/>
        </w:rPr>
        <w:t>四、</w:t>
      </w:r>
      <w:bookmarkEnd w:id="20"/>
      <w:bookmarkStart w:id="26" w:name="_Toc2442"/>
      <w:r>
        <w:rPr>
          <w:rFonts w:hint="eastAsia" w:asciiTheme="minorEastAsia" w:hAnsiTheme="minorEastAsia" w:eastAsiaTheme="minorEastAsia"/>
          <w:sz w:val="24"/>
          <w:szCs w:val="24"/>
        </w:rPr>
        <w:t>采用国际标准和国外先进标准的程度</w:t>
      </w:r>
      <w:bookmarkEnd w:id="21"/>
      <w:bookmarkEnd w:id="22"/>
      <w:bookmarkEnd w:id="26"/>
    </w:p>
    <w:p w14:paraId="6421A450">
      <w:pPr>
        <w:pStyle w:val="45"/>
        <w:spacing w:line="360" w:lineRule="auto"/>
        <w:ind w:firstLine="480" w:firstLineChars="200"/>
        <w:jc w:val="both"/>
        <w:rPr>
          <w:rFonts w:cs="宋体" w:asciiTheme="minorEastAsia" w:hAnsiTheme="minorEastAsia" w:eastAsiaTheme="minorEastAsia"/>
        </w:rPr>
      </w:pPr>
      <w:r>
        <w:rPr>
          <w:rFonts w:hint="eastAsia" w:cs="宋体" w:asciiTheme="minorEastAsia" w:hAnsiTheme="minorEastAsia" w:eastAsiaTheme="minorEastAsia"/>
        </w:rPr>
        <w:t>本标准未采标。</w:t>
      </w:r>
    </w:p>
    <w:p w14:paraId="35B652A5">
      <w:pPr>
        <w:pStyle w:val="45"/>
        <w:spacing w:line="360" w:lineRule="auto"/>
        <w:ind w:firstLine="480" w:firstLineChars="200"/>
        <w:jc w:val="both"/>
        <w:rPr>
          <w:rFonts w:hint="eastAsia" w:asciiTheme="minorEastAsia" w:hAnsiTheme="minorEastAsia" w:eastAsiaTheme="minorEastAsia"/>
        </w:rPr>
      </w:pPr>
      <w:r>
        <w:rPr>
          <w:rFonts w:hint="eastAsia" w:cs="宋体" w:asciiTheme="minorEastAsia" w:hAnsiTheme="minorEastAsia" w:eastAsiaTheme="minorEastAsia"/>
        </w:rPr>
        <w:t>经调研查询，国外无</w:t>
      </w:r>
      <w:r>
        <w:rPr>
          <w:rFonts w:hint="eastAsia" w:ascii="宋体" w:hAnsi="宋体" w:eastAsia="宋体" w:cs="Times New Roman"/>
          <w:i w:val="0"/>
          <w:iCs w:val="0"/>
          <w:caps w:val="0"/>
          <w:color w:val="auto"/>
          <w:spacing w:val="0"/>
          <w:sz w:val="24"/>
          <w:szCs w:val="24"/>
          <w:shd w:val="clear" w:fill="auto"/>
          <w:lang w:val="en-US" w:eastAsia="zh-CN"/>
        </w:rPr>
        <w:t>液体散货码头装卸臂保养</w:t>
      </w:r>
      <w:r>
        <w:rPr>
          <w:rFonts w:hint="eastAsia" w:asciiTheme="minorEastAsia" w:hAnsiTheme="minorEastAsia" w:eastAsiaTheme="minorEastAsia"/>
        </w:rPr>
        <w:t>的相关技术标准。</w:t>
      </w:r>
    </w:p>
    <w:p w14:paraId="3BB07720">
      <w:pPr>
        <w:pStyle w:val="45"/>
        <w:spacing w:line="360" w:lineRule="auto"/>
        <w:ind w:firstLine="480" w:firstLineChars="200"/>
        <w:jc w:val="both"/>
        <w:rPr>
          <w:rFonts w:hint="eastAsia" w:asciiTheme="minorEastAsia" w:hAnsiTheme="minorEastAsia" w:eastAsiaTheme="minorEastAsia"/>
        </w:rPr>
      </w:pPr>
    </w:p>
    <w:p w14:paraId="18C2F47E">
      <w:pPr>
        <w:pStyle w:val="2"/>
        <w:spacing w:before="0" w:after="0" w:line="360" w:lineRule="auto"/>
        <w:ind w:firstLine="480" w:firstLineChars="200"/>
        <w:rPr>
          <w:rFonts w:asciiTheme="minorEastAsia" w:hAnsiTheme="minorEastAsia" w:eastAsiaTheme="minorEastAsia"/>
          <w:sz w:val="24"/>
          <w:szCs w:val="24"/>
        </w:rPr>
      </w:pPr>
      <w:bookmarkStart w:id="27" w:name="_Toc32423"/>
      <w:bookmarkStart w:id="28" w:name="_Toc13469"/>
      <w:bookmarkStart w:id="29" w:name="_Toc32687"/>
      <w:r>
        <w:rPr>
          <w:rFonts w:hint="eastAsia" w:asciiTheme="minorEastAsia" w:hAnsiTheme="minorEastAsia" w:eastAsiaTheme="minorEastAsia"/>
          <w:sz w:val="24"/>
          <w:szCs w:val="24"/>
        </w:rPr>
        <w:t>五、与有关的现行法律、法规和强制性国家标准的关系</w:t>
      </w:r>
      <w:bookmarkEnd w:id="27"/>
      <w:bookmarkEnd w:id="28"/>
      <w:bookmarkEnd w:id="29"/>
    </w:p>
    <w:p w14:paraId="5738FB40">
      <w:pPr>
        <w:widowControl/>
        <w:snapToGrid w:val="0"/>
        <w:spacing w:line="360" w:lineRule="auto"/>
        <w:ind w:firstLine="480" w:firstLineChars="200"/>
        <w:jc w:val="both"/>
        <w:rPr>
          <w:rFonts w:hint="eastAsia" w:asciiTheme="minorEastAsia" w:hAnsiTheme="minorEastAsia" w:eastAsiaTheme="minorEastAsia"/>
          <w:sz w:val="24"/>
          <w:lang w:val="en-US" w:eastAsia="zh-CN"/>
        </w:rPr>
      </w:pPr>
      <w:r>
        <w:rPr>
          <w:rFonts w:hint="eastAsia" w:asciiTheme="minorEastAsia" w:hAnsiTheme="minorEastAsia" w:eastAsiaTheme="minorEastAsia"/>
          <w:sz w:val="24"/>
        </w:rPr>
        <w:t>本标准与现行法律、法规和强制标准</w:t>
      </w:r>
      <w:r>
        <w:rPr>
          <w:rFonts w:hint="eastAsia" w:asciiTheme="minorEastAsia" w:hAnsiTheme="minorEastAsia" w:eastAsiaTheme="minorEastAsia"/>
          <w:sz w:val="24"/>
          <w:lang w:val="en-US" w:eastAsia="zh-CN"/>
        </w:rPr>
        <w:t>无</w:t>
      </w:r>
      <w:r>
        <w:rPr>
          <w:rFonts w:hint="eastAsia" w:asciiTheme="minorEastAsia" w:hAnsiTheme="minorEastAsia" w:eastAsiaTheme="minorEastAsia"/>
          <w:sz w:val="24"/>
        </w:rPr>
        <w:t>冲突</w:t>
      </w:r>
      <w:r>
        <w:rPr>
          <w:rFonts w:hint="eastAsia" w:asciiTheme="minorEastAsia" w:hAnsiTheme="minorEastAsia" w:eastAsiaTheme="minorEastAsia"/>
          <w:sz w:val="24"/>
          <w:lang w:eastAsia="zh-CN"/>
        </w:rPr>
        <w:t>，</w:t>
      </w:r>
      <w:r>
        <w:rPr>
          <w:rFonts w:hint="eastAsia" w:asciiTheme="minorEastAsia" w:hAnsiTheme="minorEastAsia" w:eastAsiaTheme="minorEastAsia"/>
          <w:sz w:val="24"/>
          <w:lang w:val="en-US" w:eastAsia="zh-CN"/>
        </w:rPr>
        <w:t>与以下标准保持协调：</w:t>
      </w:r>
    </w:p>
    <w:p w14:paraId="7E344FEB">
      <w:pPr>
        <w:pStyle w:val="45"/>
        <w:snapToGrid w:val="0"/>
        <w:spacing w:line="360" w:lineRule="auto"/>
        <w:ind w:firstLine="481"/>
        <w:jc w:val="both"/>
        <w:rPr>
          <w:rFonts w:hint="eastAsia" w:cs="Times New Roman" w:asciiTheme="minorEastAsia" w:hAnsiTheme="minorEastAsia" w:eastAsiaTheme="minorEastAsia"/>
          <w:lang w:eastAsia="zh-CN"/>
        </w:rPr>
      </w:pPr>
      <w:r>
        <w:rPr>
          <w:rFonts w:hint="eastAsia" w:cs="Times New Roman" w:asciiTheme="minorEastAsia" w:hAnsiTheme="minorEastAsia" w:eastAsiaTheme="minorEastAsia"/>
        </w:rPr>
        <w:t>GB/T 3766 液压传动系统及其元件的通用规则和安全要求</w:t>
      </w:r>
      <w:r>
        <w:rPr>
          <w:rFonts w:hint="eastAsia" w:cs="Times New Roman" w:asciiTheme="minorEastAsia" w:hAnsiTheme="minorEastAsia" w:eastAsiaTheme="minorEastAsia"/>
          <w:lang w:eastAsia="zh-CN"/>
        </w:rPr>
        <w:t>；</w:t>
      </w:r>
    </w:p>
    <w:p w14:paraId="73272ADD">
      <w:pPr>
        <w:pStyle w:val="45"/>
        <w:snapToGrid w:val="0"/>
        <w:spacing w:line="360" w:lineRule="auto"/>
        <w:ind w:firstLine="481"/>
        <w:jc w:val="both"/>
        <w:rPr>
          <w:rFonts w:hint="eastAsia" w:cs="Times New Roman" w:asciiTheme="minorEastAsia" w:hAnsiTheme="minorEastAsia" w:eastAsiaTheme="minorEastAsia"/>
          <w:lang w:eastAsia="zh-CN"/>
        </w:rPr>
      </w:pPr>
      <w:r>
        <w:rPr>
          <w:rFonts w:hint="eastAsia" w:cs="Times New Roman" w:asciiTheme="minorEastAsia" w:hAnsiTheme="minorEastAsia" w:eastAsiaTheme="minorEastAsia"/>
        </w:rPr>
        <w:t>GB/T 3836.2 爆炸性环境 第2部分：由隔爆外壳</w:t>
      </w:r>
      <w:r>
        <w:rPr>
          <w:rFonts w:hint="eastAsia" w:cs="Times New Roman" w:asciiTheme="minorEastAsia" w:hAnsiTheme="minorEastAsia" w:eastAsiaTheme="minorEastAsia"/>
          <w:lang w:eastAsia="zh-CN"/>
        </w:rPr>
        <w:t>“</w:t>
      </w:r>
      <w:r>
        <w:rPr>
          <w:rFonts w:hint="eastAsia" w:cs="Times New Roman" w:asciiTheme="minorEastAsia" w:hAnsiTheme="minorEastAsia" w:eastAsiaTheme="minorEastAsia"/>
        </w:rPr>
        <w:t>d</w:t>
      </w:r>
      <w:r>
        <w:rPr>
          <w:rFonts w:hint="eastAsia" w:cs="Times New Roman" w:asciiTheme="minorEastAsia" w:hAnsiTheme="minorEastAsia" w:eastAsiaTheme="minorEastAsia"/>
          <w:lang w:eastAsia="zh-CN"/>
        </w:rPr>
        <w:t>”</w:t>
      </w:r>
      <w:r>
        <w:rPr>
          <w:rFonts w:hint="eastAsia" w:cs="Times New Roman" w:asciiTheme="minorEastAsia" w:hAnsiTheme="minorEastAsia" w:eastAsiaTheme="minorEastAsia"/>
        </w:rPr>
        <w:t>保护的设备</w:t>
      </w:r>
      <w:r>
        <w:rPr>
          <w:rFonts w:hint="eastAsia" w:cs="Times New Roman" w:asciiTheme="minorEastAsia" w:hAnsiTheme="minorEastAsia" w:eastAsiaTheme="minorEastAsia"/>
          <w:lang w:eastAsia="zh-CN"/>
        </w:rPr>
        <w:t>；</w:t>
      </w:r>
    </w:p>
    <w:p w14:paraId="1936135F">
      <w:pPr>
        <w:pStyle w:val="45"/>
        <w:snapToGrid w:val="0"/>
        <w:spacing w:line="360" w:lineRule="auto"/>
        <w:ind w:firstLine="481"/>
        <w:jc w:val="both"/>
        <w:rPr>
          <w:rFonts w:hint="eastAsia" w:cs="Times New Roman" w:asciiTheme="minorEastAsia" w:hAnsiTheme="minorEastAsia" w:eastAsiaTheme="minorEastAsia"/>
          <w:lang w:eastAsia="zh-CN"/>
        </w:rPr>
      </w:pPr>
      <w:r>
        <w:rPr>
          <w:rFonts w:hint="eastAsia" w:cs="Times New Roman" w:asciiTheme="minorEastAsia" w:hAnsiTheme="minorEastAsia" w:eastAsiaTheme="minorEastAsia"/>
        </w:rPr>
        <w:t>GB/T 3836.3 爆炸性环境 第3部分：由增安型</w:t>
      </w:r>
      <w:r>
        <w:rPr>
          <w:rFonts w:hint="eastAsia" w:cs="Times New Roman" w:asciiTheme="minorEastAsia" w:hAnsiTheme="minorEastAsia" w:eastAsiaTheme="minorEastAsia"/>
          <w:lang w:eastAsia="zh-CN"/>
        </w:rPr>
        <w:t>“</w:t>
      </w:r>
      <w:r>
        <w:rPr>
          <w:rFonts w:hint="eastAsia" w:cs="Times New Roman" w:asciiTheme="minorEastAsia" w:hAnsiTheme="minorEastAsia" w:eastAsiaTheme="minorEastAsia"/>
        </w:rPr>
        <w:t>e</w:t>
      </w:r>
      <w:r>
        <w:rPr>
          <w:rFonts w:hint="eastAsia" w:cs="Times New Roman" w:asciiTheme="minorEastAsia" w:hAnsiTheme="minorEastAsia" w:eastAsiaTheme="minorEastAsia"/>
          <w:lang w:eastAsia="zh-CN"/>
        </w:rPr>
        <w:t>”</w:t>
      </w:r>
      <w:r>
        <w:rPr>
          <w:rFonts w:hint="eastAsia" w:cs="Times New Roman" w:asciiTheme="minorEastAsia" w:hAnsiTheme="minorEastAsia" w:eastAsiaTheme="minorEastAsia"/>
        </w:rPr>
        <w:t>保护的设备</w:t>
      </w:r>
      <w:r>
        <w:rPr>
          <w:rFonts w:hint="eastAsia" w:cs="Times New Roman" w:asciiTheme="minorEastAsia" w:hAnsiTheme="minorEastAsia" w:eastAsiaTheme="minorEastAsia"/>
          <w:lang w:eastAsia="zh-CN"/>
        </w:rPr>
        <w:t>；</w:t>
      </w:r>
    </w:p>
    <w:p w14:paraId="1D716374">
      <w:pPr>
        <w:pStyle w:val="45"/>
        <w:snapToGrid w:val="0"/>
        <w:spacing w:line="360" w:lineRule="auto"/>
        <w:ind w:firstLine="481"/>
        <w:jc w:val="both"/>
        <w:rPr>
          <w:rFonts w:hint="eastAsia" w:cs="Times New Roman" w:asciiTheme="minorEastAsia" w:hAnsiTheme="minorEastAsia" w:eastAsiaTheme="minorEastAsia"/>
          <w:lang w:eastAsia="zh-CN"/>
        </w:rPr>
      </w:pPr>
      <w:r>
        <w:rPr>
          <w:rFonts w:hint="eastAsia" w:cs="Times New Roman" w:asciiTheme="minorEastAsia" w:hAnsiTheme="minorEastAsia" w:eastAsiaTheme="minorEastAsia"/>
        </w:rPr>
        <w:t>GB/T 3836.4 爆炸性环境 第4部分：由本质安全型</w:t>
      </w:r>
      <w:r>
        <w:rPr>
          <w:rFonts w:hint="eastAsia" w:cs="Times New Roman" w:asciiTheme="minorEastAsia" w:hAnsiTheme="minorEastAsia" w:eastAsiaTheme="minorEastAsia"/>
          <w:lang w:eastAsia="zh-CN"/>
        </w:rPr>
        <w:t>“</w:t>
      </w:r>
      <w:r>
        <w:rPr>
          <w:rFonts w:hint="eastAsia" w:cs="Times New Roman" w:asciiTheme="minorEastAsia" w:hAnsiTheme="minorEastAsia" w:eastAsiaTheme="minorEastAsia"/>
        </w:rPr>
        <w:t>i</w:t>
      </w:r>
      <w:r>
        <w:rPr>
          <w:rFonts w:hint="eastAsia" w:cs="Times New Roman" w:asciiTheme="minorEastAsia" w:hAnsiTheme="minorEastAsia" w:eastAsiaTheme="minorEastAsia"/>
          <w:lang w:eastAsia="zh-CN"/>
        </w:rPr>
        <w:t>”</w:t>
      </w:r>
      <w:r>
        <w:rPr>
          <w:rFonts w:hint="eastAsia" w:cs="Times New Roman" w:asciiTheme="minorEastAsia" w:hAnsiTheme="minorEastAsia" w:eastAsiaTheme="minorEastAsia"/>
        </w:rPr>
        <w:t>保护的设备</w:t>
      </w:r>
      <w:r>
        <w:rPr>
          <w:rFonts w:hint="eastAsia" w:cs="Times New Roman" w:asciiTheme="minorEastAsia" w:hAnsiTheme="minorEastAsia" w:eastAsiaTheme="minorEastAsia"/>
          <w:lang w:eastAsia="zh-CN"/>
        </w:rPr>
        <w:t>；</w:t>
      </w:r>
    </w:p>
    <w:p w14:paraId="5618A9CA">
      <w:pPr>
        <w:pStyle w:val="45"/>
        <w:snapToGrid w:val="0"/>
        <w:spacing w:line="360" w:lineRule="auto"/>
        <w:ind w:firstLine="481"/>
        <w:jc w:val="both"/>
        <w:rPr>
          <w:rFonts w:hint="eastAsia" w:cs="Times New Roman" w:asciiTheme="minorEastAsia" w:hAnsiTheme="minorEastAsia" w:eastAsiaTheme="minorEastAsia"/>
          <w:lang w:eastAsia="zh-CN"/>
        </w:rPr>
      </w:pPr>
      <w:r>
        <w:rPr>
          <w:rFonts w:hint="eastAsia" w:cs="Times New Roman" w:asciiTheme="minorEastAsia" w:hAnsiTheme="minorEastAsia" w:eastAsiaTheme="minorEastAsia"/>
        </w:rPr>
        <w:t>GB/T 8487 港口装卸术语</w:t>
      </w:r>
      <w:r>
        <w:rPr>
          <w:rFonts w:hint="eastAsia" w:cs="Times New Roman" w:asciiTheme="minorEastAsia" w:hAnsiTheme="minorEastAsia" w:eastAsiaTheme="minorEastAsia"/>
          <w:lang w:eastAsia="zh-CN"/>
        </w:rPr>
        <w:t>；</w:t>
      </w:r>
    </w:p>
    <w:bookmarkEnd w:id="23"/>
    <w:bookmarkEnd w:id="24"/>
    <w:bookmarkEnd w:id="25"/>
    <w:p w14:paraId="453DB2F7">
      <w:pPr>
        <w:pStyle w:val="45"/>
        <w:snapToGrid w:val="0"/>
        <w:spacing w:line="360" w:lineRule="auto"/>
        <w:ind w:firstLine="481"/>
        <w:jc w:val="both"/>
        <w:rPr>
          <w:rFonts w:hint="eastAsia" w:cs="Times New Roman" w:asciiTheme="minorEastAsia" w:hAnsiTheme="minorEastAsia" w:eastAsiaTheme="minorEastAsia"/>
          <w:lang w:eastAsia="zh-CN"/>
        </w:rPr>
      </w:pPr>
      <w:bookmarkStart w:id="30" w:name="_Toc30316"/>
      <w:bookmarkStart w:id="31" w:name="_Toc16434"/>
      <w:bookmarkStart w:id="32" w:name="_Toc196322272"/>
      <w:r>
        <w:rPr>
          <w:rFonts w:hint="eastAsia" w:cs="Times New Roman" w:asciiTheme="minorEastAsia" w:hAnsiTheme="minorEastAsia" w:eastAsiaTheme="minorEastAsia"/>
        </w:rPr>
        <w:t>HG/T 21608 液体装卸臂工程技术要求</w:t>
      </w:r>
      <w:r>
        <w:rPr>
          <w:rFonts w:hint="eastAsia" w:cs="Times New Roman" w:asciiTheme="minorEastAsia" w:hAnsiTheme="minorEastAsia" w:eastAsiaTheme="minorEastAsia"/>
          <w:lang w:eastAsia="zh-CN"/>
        </w:rPr>
        <w:t>；</w:t>
      </w:r>
    </w:p>
    <w:p w14:paraId="71E7ADB0">
      <w:pPr>
        <w:pStyle w:val="45"/>
        <w:snapToGrid w:val="0"/>
        <w:spacing w:line="360" w:lineRule="auto"/>
        <w:ind w:firstLine="481"/>
        <w:jc w:val="both"/>
        <w:rPr>
          <w:rFonts w:hint="eastAsia" w:cs="Times New Roman" w:asciiTheme="minorEastAsia" w:hAnsiTheme="minorEastAsia" w:eastAsiaTheme="minorEastAsia"/>
          <w:lang w:eastAsia="zh-CN"/>
        </w:rPr>
      </w:pPr>
      <w:r>
        <w:rPr>
          <w:rFonts w:hint="eastAsia" w:cs="Times New Roman" w:asciiTheme="minorEastAsia" w:hAnsiTheme="minorEastAsia" w:eastAsiaTheme="minorEastAsia"/>
        </w:rPr>
        <w:t>JT/T 398 港口输油臂</w:t>
      </w:r>
      <w:r>
        <w:rPr>
          <w:rFonts w:hint="eastAsia" w:cs="Times New Roman" w:asciiTheme="minorEastAsia" w:hAnsiTheme="minorEastAsia" w:eastAsiaTheme="minorEastAsia"/>
          <w:lang w:eastAsia="zh-CN"/>
        </w:rPr>
        <w:t>。</w:t>
      </w:r>
    </w:p>
    <w:p w14:paraId="442C7E45">
      <w:pPr>
        <w:pStyle w:val="45"/>
        <w:snapToGrid w:val="0"/>
        <w:ind w:firstLine="482"/>
        <w:jc w:val="both"/>
        <w:rPr>
          <w:rFonts w:hint="eastAsia" w:asciiTheme="minorEastAsia" w:hAnsiTheme="minorEastAsia" w:eastAsiaTheme="minorEastAsia"/>
          <w:sz w:val="24"/>
          <w:szCs w:val="24"/>
          <w:lang w:eastAsia="zh-CN"/>
        </w:rPr>
      </w:pPr>
    </w:p>
    <w:p w14:paraId="02FF7B20">
      <w:pPr>
        <w:pStyle w:val="2"/>
        <w:spacing w:before="0" w:after="0" w:line="360" w:lineRule="auto"/>
        <w:ind w:firstLine="480" w:firstLineChars="200"/>
        <w:rPr>
          <w:rFonts w:eastAsiaTheme="minorEastAsia"/>
          <w:sz w:val="24"/>
          <w:szCs w:val="24"/>
        </w:rPr>
      </w:pPr>
      <w:bookmarkStart w:id="33" w:name="_Toc30267"/>
      <w:bookmarkStart w:id="34" w:name="_Toc1059"/>
      <w:r>
        <w:rPr>
          <w:rFonts w:hint="eastAsia" w:eastAsiaTheme="minorEastAsia"/>
          <w:sz w:val="24"/>
          <w:szCs w:val="24"/>
          <w:lang w:val="en-US" w:eastAsia="zh-CN"/>
        </w:rPr>
        <w:t>六</w:t>
      </w:r>
      <w:r>
        <w:rPr>
          <w:rFonts w:hint="eastAsia" w:eastAsiaTheme="minorEastAsia"/>
          <w:sz w:val="24"/>
          <w:szCs w:val="24"/>
        </w:rPr>
        <w:t>、重大分歧意见的处理经过和依据</w:t>
      </w:r>
      <w:bookmarkEnd w:id="30"/>
      <w:bookmarkEnd w:id="31"/>
      <w:bookmarkEnd w:id="32"/>
      <w:bookmarkEnd w:id="33"/>
      <w:bookmarkEnd w:id="34"/>
    </w:p>
    <w:p w14:paraId="059F5487">
      <w:pPr>
        <w:spacing w:line="360" w:lineRule="auto"/>
        <w:ind w:firstLine="480" w:firstLineChars="200"/>
        <w:rPr>
          <w:rFonts w:eastAsiaTheme="minorEastAsia"/>
          <w:bCs/>
          <w:sz w:val="24"/>
        </w:rPr>
      </w:pPr>
      <w:r>
        <w:rPr>
          <w:rFonts w:hint="eastAsia" w:eastAsiaTheme="minorEastAsia"/>
          <w:bCs/>
          <w:sz w:val="24"/>
        </w:rPr>
        <w:t>无。</w:t>
      </w:r>
    </w:p>
    <w:p w14:paraId="6F5A2297">
      <w:pPr>
        <w:spacing w:line="360" w:lineRule="auto"/>
        <w:ind w:firstLine="480" w:firstLineChars="200"/>
        <w:rPr>
          <w:rFonts w:hint="default" w:eastAsiaTheme="minorEastAsia"/>
          <w:bCs/>
          <w:sz w:val="24"/>
          <w:lang w:val="en-US" w:eastAsia="zh-CN"/>
        </w:rPr>
      </w:pPr>
    </w:p>
    <w:p w14:paraId="2358AD17">
      <w:pPr>
        <w:pStyle w:val="2"/>
        <w:spacing w:before="0" w:after="0" w:line="360" w:lineRule="auto"/>
        <w:ind w:firstLine="480" w:firstLineChars="200"/>
        <w:rPr>
          <w:rFonts w:asciiTheme="minorEastAsia" w:hAnsiTheme="minorEastAsia" w:eastAsiaTheme="minorEastAsia"/>
          <w:sz w:val="24"/>
          <w:szCs w:val="24"/>
        </w:rPr>
      </w:pPr>
      <w:bookmarkStart w:id="35" w:name="_Toc6231"/>
      <w:bookmarkStart w:id="36" w:name="_Toc501"/>
      <w:bookmarkStart w:id="37" w:name="_Toc30843"/>
      <w:bookmarkStart w:id="38" w:name="_Toc29029"/>
      <w:bookmarkStart w:id="39" w:name="_Toc16800"/>
      <w:bookmarkStart w:id="40" w:name="_Toc196322273"/>
      <w:r>
        <w:rPr>
          <w:rFonts w:hint="eastAsia" w:asciiTheme="minorEastAsia" w:hAnsiTheme="minorEastAsia" w:eastAsiaTheme="minorEastAsia"/>
          <w:sz w:val="24"/>
          <w:szCs w:val="24"/>
        </w:rPr>
        <w:t>七、标准过渡期的建议</w:t>
      </w:r>
      <w:bookmarkEnd w:id="35"/>
      <w:bookmarkEnd w:id="36"/>
      <w:bookmarkEnd w:id="37"/>
    </w:p>
    <w:p w14:paraId="17A2C794">
      <w:pPr>
        <w:spacing w:line="360" w:lineRule="auto"/>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rPr>
        <w:t>考虑标准发布后，需对标准使用者进行宣贯和培训，故建议标准文件发布后三个月后实施。</w:t>
      </w:r>
    </w:p>
    <w:p w14:paraId="770CF96E">
      <w:pPr>
        <w:spacing w:line="360" w:lineRule="auto"/>
        <w:ind w:firstLine="480" w:firstLineChars="200"/>
        <w:rPr>
          <w:rFonts w:hint="eastAsia" w:ascii="Times New Roman" w:hAnsi="Times New Roman" w:cs="Times New Roman" w:eastAsiaTheme="minorEastAsia"/>
          <w:bCs/>
          <w:sz w:val="24"/>
        </w:rPr>
      </w:pPr>
    </w:p>
    <w:p w14:paraId="6E5B2F5C">
      <w:pPr>
        <w:pStyle w:val="2"/>
        <w:spacing w:before="0" w:after="0" w:line="360" w:lineRule="auto"/>
        <w:ind w:firstLine="480" w:firstLineChars="200"/>
        <w:rPr>
          <w:rFonts w:asciiTheme="minorEastAsia" w:hAnsiTheme="minorEastAsia" w:eastAsiaTheme="minorEastAsia"/>
          <w:sz w:val="24"/>
          <w:szCs w:val="24"/>
        </w:rPr>
      </w:pPr>
      <w:bookmarkStart w:id="41" w:name="_Toc5165"/>
      <w:bookmarkStart w:id="42" w:name="_Toc22660"/>
      <w:bookmarkStart w:id="43" w:name="_Toc30571"/>
      <w:r>
        <w:rPr>
          <w:rFonts w:hint="eastAsia" w:asciiTheme="minorEastAsia" w:hAnsiTheme="minorEastAsia" w:eastAsiaTheme="minorEastAsia"/>
          <w:sz w:val="24"/>
          <w:szCs w:val="24"/>
        </w:rPr>
        <w:t>八、废止现行有关标准的建议</w:t>
      </w:r>
      <w:bookmarkEnd w:id="41"/>
      <w:bookmarkEnd w:id="42"/>
      <w:bookmarkEnd w:id="43"/>
    </w:p>
    <w:p w14:paraId="293A2455">
      <w:pPr>
        <w:spacing w:line="360" w:lineRule="auto"/>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rPr>
        <w:t>无。</w:t>
      </w:r>
    </w:p>
    <w:p w14:paraId="21DF7D22">
      <w:pPr>
        <w:spacing w:line="360" w:lineRule="auto"/>
        <w:ind w:firstLine="480" w:firstLineChars="200"/>
        <w:rPr>
          <w:rFonts w:asciiTheme="minorEastAsia" w:hAnsiTheme="minorEastAsia" w:eastAsiaTheme="minorEastAsia"/>
          <w:sz w:val="24"/>
        </w:rPr>
      </w:pPr>
    </w:p>
    <w:p w14:paraId="6B32CB92">
      <w:pPr>
        <w:pStyle w:val="2"/>
        <w:spacing w:before="0" w:after="0" w:line="360" w:lineRule="auto"/>
        <w:ind w:firstLine="480" w:firstLineChars="200"/>
        <w:rPr>
          <w:rFonts w:asciiTheme="minorEastAsia" w:hAnsiTheme="minorEastAsia" w:eastAsiaTheme="minorEastAsia"/>
          <w:sz w:val="24"/>
          <w:szCs w:val="24"/>
        </w:rPr>
      </w:pPr>
      <w:bookmarkStart w:id="44" w:name="_Toc7525"/>
      <w:bookmarkStart w:id="45" w:name="_Toc10785"/>
      <w:bookmarkStart w:id="46" w:name="_Toc25911"/>
      <w:r>
        <w:rPr>
          <w:rFonts w:hint="eastAsia" w:asciiTheme="minorEastAsia" w:hAnsiTheme="minorEastAsia" w:eastAsiaTheme="minorEastAsia"/>
          <w:sz w:val="24"/>
          <w:szCs w:val="24"/>
        </w:rPr>
        <w:t>九、其他应予说明的事项</w:t>
      </w:r>
      <w:bookmarkEnd w:id="44"/>
      <w:bookmarkEnd w:id="45"/>
      <w:bookmarkEnd w:id="46"/>
    </w:p>
    <w:p w14:paraId="40E5D8D9">
      <w:pPr>
        <w:spacing w:line="360" w:lineRule="auto"/>
        <w:ind w:firstLine="480" w:firstLineChars="200"/>
        <w:rPr>
          <w:sz w:val="24"/>
        </w:rPr>
      </w:pPr>
      <w:r>
        <w:rPr>
          <w:rFonts w:hint="eastAsia"/>
          <w:sz w:val="24"/>
        </w:rPr>
        <w:t>本文件在起草过程中，暂时未识别出专利。</w:t>
      </w:r>
    </w:p>
    <w:bookmarkEnd w:id="38"/>
    <w:bookmarkEnd w:id="39"/>
    <w:bookmarkEnd w:id="40"/>
    <w:p w14:paraId="3508BA17">
      <w:pPr>
        <w:spacing w:line="360" w:lineRule="auto"/>
        <w:ind w:firstLine="480" w:firstLineChars="200"/>
      </w:pPr>
      <w:r>
        <w:rPr>
          <w:rFonts w:hint="eastAsia"/>
          <w:sz w:val="24"/>
        </w:rPr>
        <w:t>根据中国港口协会关于下达《</w:t>
      </w:r>
      <w:r>
        <w:rPr>
          <w:rFonts w:hint="eastAsia" w:ascii="宋体" w:hAnsi="宋体"/>
          <w:sz w:val="24"/>
        </w:rPr>
        <w:t>2024年度中国港口协会团体标准化计划(第二批)</w:t>
      </w:r>
      <w:r>
        <w:rPr>
          <w:rFonts w:hint="eastAsia"/>
          <w:sz w:val="24"/>
        </w:rPr>
        <w:t>》的通知</w:t>
      </w:r>
      <w:r>
        <w:rPr>
          <w:rFonts w:hint="eastAsia"/>
          <w:sz w:val="24"/>
          <w:lang w:eastAsia="zh-CN"/>
        </w:rPr>
        <w:t>（</w:t>
      </w:r>
      <w:r>
        <w:rPr>
          <w:rFonts w:hint="eastAsia" w:ascii="宋体" w:hAnsi="宋体"/>
          <w:sz w:val="24"/>
        </w:rPr>
        <w:t>中港协行函[2024]52号</w:t>
      </w:r>
      <w:r>
        <w:rPr>
          <w:rFonts w:hint="eastAsia"/>
          <w:sz w:val="24"/>
          <w:lang w:eastAsia="zh-CN"/>
        </w:rPr>
        <w:t>）</w:t>
      </w:r>
      <w:r>
        <w:rPr>
          <w:rFonts w:hint="eastAsia"/>
          <w:sz w:val="24"/>
        </w:rPr>
        <w:t>，</w:t>
      </w:r>
      <w:r>
        <w:rPr>
          <w:rFonts w:hint="eastAsia"/>
          <w:sz w:val="24"/>
          <w:lang w:val="en-US" w:eastAsia="zh-CN"/>
        </w:rPr>
        <w:t>本标准立项名称为</w:t>
      </w:r>
      <w:r>
        <w:rPr>
          <w:rFonts w:hint="eastAsia"/>
          <w:sz w:val="24"/>
        </w:rPr>
        <w:t>《港口液体散货码头装</w:t>
      </w:r>
      <w:r>
        <w:rPr>
          <w:rFonts w:hint="eastAsia" w:ascii="Times New Roman" w:hAnsi="Times New Roman" w:eastAsia="宋体" w:cs="Times New Roman"/>
          <w:sz w:val="24"/>
        </w:rPr>
        <w:t>卸臂保养技术要求》</w:t>
      </w:r>
      <w:r>
        <w:rPr>
          <w:rFonts w:hint="eastAsia" w:ascii="Times New Roman" w:hAnsi="Times New Roman" w:eastAsia="宋体" w:cs="Times New Roman"/>
          <w:sz w:val="24"/>
          <w:lang w:eastAsia="zh-CN"/>
        </w:rPr>
        <w:t>（</w:t>
      </w:r>
      <w:r>
        <w:rPr>
          <w:rFonts w:hint="eastAsia" w:ascii="Times New Roman" w:hAnsi="Times New Roman" w:eastAsia="宋体" w:cs="Times New Roman"/>
          <w:sz w:val="24"/>
        </w:rPr>
        <w:t>计划编号</w:t>
      </w:r>
      <w:r>
        <w:rPr>
          <w:rFonts w:hint="eastAsia" w:ascii="Times New Roman" w:hAnsi="Times New Roman" w:eastAsia="宋体" w:cs="Times New Roman"/>
          <w:sz w:val="24"/>
          <w:lang w:eastAsia="zh-CN"/>
        </w:rPr>
        <w:t>：</w:t>
      </w:r>
      <w:r>
        <w:rPr>
          <w:rFonts w:hint="eastAsia" w:ascii="Times New Roman" w:hAnsi="Times New Roman" w:eastAsia="宋体" w:cs="Times New Roman"/>
          <w:sz w:val="24"/>
        </w:rPr>
        <w:t>2024-33</w:t>
      </w:r>
      <w:r>
        <w:rPr>
          <w:rFonts w:hint="eastAsia" w:ascii="Times New Roman" w:hAnsi="Times New Roman" w:eastAsia="宋体" w:cs="Times New Roman"/>
          <w:sz w:val="24"/>
          <w:lang w:eastAsia="zh-CN"/>
        </w:rPr>
        <w:t>）</w:t>
      </w:r>
      <w:r>
        <w:rPr>
          <w:rFonts w:hint="eastAsia" w:ascii="Times New Roman" w:hAnsi="Times New Roman" w:eastAsia="宋体" w:cs="Times New Roman"/>
          <w:sz w:val="24"/>
        </w:rPr>
        <w:t>。</w:t>
      </w:r>
      <w:r>
        <w:rPr>
          <w:rFonts w:hint="eastAsia" w:ascii="Times New Roman" w:hAnsi="Times New Roman" w:eastAsia="宋体" w:cs="Times New Roman"/>
          <w:sz w:val="24"/>
          <w:lang w:val="en-US" w:eastAsia="zh-CN"/>
        </w:rPr>
        <w:t>2025年4月，在本标准大纲评审阶段，经专家讨论评议，将</w:t>
      </w:r>
      <w:r>
        <w:rPr>
          <w:rFonts w:hint="eastAsia" w:ascii="Times New Roman" w:hAnsi="Times New Roman" w:eastAsia="宋体" w:cs="Times New Roman"/>
          <w:sz w:val="24"/>
        </w:rPr>
        <w:t>标准名称改为</w:t>
      </w:r>
      <w:r>
        <w:rPr>
          <w:rFonts w:hint="eastAsia" w:ascii="Times New Roman" w:hAnsi="Times New Roman" w:eastAsia="宋体" w:cs="Times New Roman"/>
          <w:sz w:val="24"/>
          <w:lang w:eastAsia="zh-CN"/>
        </w:rPr>
        <w:t>《</w:t>
      </w:r>
      <w:r>
        <w:rPr>
          <w:rFonts w:hint="eastAsia" w:ascii="Times New Roman" w:hAnsi="Times New Roman" w:eastAsia="宋体" w:cs="Times New Roman"/>
          <w:sz w:val="24"/>
        </w:rPr>
        <w:t>液体散货码头装卸臂保养技术要求</w:t>
      </w:r>
      <w:r>
        <w:rPr>
          <w:rFonts w:hint="eastAsia" w:ascii="Times New Roman" w:hAnsi="Times New Roman" w:eastAsia="宋体" w:cs="Times New Roman"/>
          <w:sz w:val="24"/>
          <w:lang w:eastAsia="zh-CN"/>
        </w:rPr>
        <w:t>》。</w:t>
      </w:r>
    </w:p>
    <w:sectPr>
      <w:footerReference r:id="rId5" w:type="default"/>
      <w:pgSz w:w="11906" w:h="16838"/>
      <w:pgMar w:top="1588" w:right="1814" w:bottom="1588" w:left="1814" w:header="851" w:footer="992" w:gutter="0"/>
      <w:pgNumType w:start="1"/>
      <w:cols w:space="425" w:num="1"/>
      <w:docGrid w:type="linesAndChar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54599478"/>
    </w:sdtPr>
    <w:sdtContent>
      <w:p w14:paraId="4CD6CCC5">
        <w:pPr>
          <w:pStyle w:val="10"/>
          <w:jc w:val="center"/>
        </w:pPr>
      </w:p>
    </w:sdtContent>
  </w:sdt>
  <w:p w14:paraId="6C734626">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A0B68">
    <w:pPr>
      <w:pStyle w:val="10"/>
      <w:jc w:val="center"/>
    </w:pPr>
  </w:p>
  <w:p w14:paraId="26555109">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7949734"/>
    </w:sdtPr>
    <w:sdtContent>
      <w:p w14:paraId="4C889561">
        <w:pPr>
          <w:pStyle w:val="10"/>
          <w:jc w:val="center"/>
        </w:pPr>
        <w:r>
          <w:fldChar w:fldCharType="begin"/>
        </w:r>
        <w:r>
          <w:instrText xml:space="preserve">PAGE   \* MERGEFORMAT</w:instrText>
        </w:r>
        <w:r>
          <w:fldChar w:fldCharType="separate"/>
        </w:r>
        <w:r>
          <w:rPr>
            <w:lang w:val="zh-CN"/>
          </w:rPr>
          <w:t>17</w:t>
        </w:r>
        <w:r>
          <w:fldChar w:fldCharType="end"/>
        </w:r>
      </w:p>
    </w:sdtContent>
  </w:sdt>
  <w:p w14:paraId="52F4568F">
    <w:pPr>
      <w:pStyle w:val="1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031106"/>
    <w:multiLevelType w:val="singleLevel"/>
    <w:tmpl w:val="FC031106"/>
    <w:lvl w:ilvl="0" w:tentative="0">
      <w:start w:val="1"/>
      <w:numFmt w:val="decimal"/>
      <w:lvlText w:val="%1."/>
      <w:lvlJc w:val="left"/>
      <w:pPr>
        <w:ind w:left="425" w:hanging="425"/>
      </w:pPr>
      <w:rPr>
        <w:rFonts w:hint="default"/>
      </w:rPr>
    </w:lvl>
  </w:abstractNum>
  <w:abstractNum w:abstractNumId="1">
    <w:nsid w:val="04481A5C"/>
    <w:multiLevelType w:val="multilevel"/>
    <w:tmpl w:val="04481A5C"/>
    <w:lvl w:ilvl="0" w:tentative="0">
      <w:start w:val="1"/>
      <w:numFmt w:val="decimal"/>
      <w:lvlText w:val="%1."/>
      <w:lvlJc w:val="left"/>
      <w:pPr>
        <w:ind w:left="425" w:hanging="425"/>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2">
    <w:nsid w:val="1FC91163"/>
    <w:multiLevelType w:val="multilevel"/>
    <w:tmpl w:val="1FC91163"/>
    <w:lvl w:ilvl="0" w:tentative="0">
      <w:start w:val="1"/>
      <w:numFmt w:val="decimal"/>
      <w:pStyle w:val="34"/>
      <w:suff w:val="nothing"/>
      <w:lvlText w:val="%1　"/>
      <w:lvlJc w:val="left"/>
      <w:rPr>
        <w:rFonts w:hint="eastAsia" w:ascii="黑体" w:hAnsi="Times New Roman" w:eastAsia="黑体" w:cs="Times New Roman"/>
        <w:b w:val="0"/>
        <w:i w:val="0"/>
        <w:sz w:val="21"/>
        <w:szCs w:val="21"/>
      </w:rPr>
    </w:lvl>
    <w:lvl w:ilvl="1" w:tentative="0">
      <w:start w:val="1"/>
      <w:numFmt w:val="decimal"/>
      <w:pStyle w:val="33"/>
      <w:suff w:val="nothing"/>
      <w:lvlText w:val="%1.%2　"/>
      <w:lvlJc w:val="left"/>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35"/>
      <w:suff w:val="nothing"/>
      <w:lvlText w:val="%1.%2.%3　"/>
      <w:lvlJc w:val="left"/>
      <w:rPr>
        <w:rFonts w:hint="eastAsia" w:ascii="黑体" w:hAnsi="Times New Roman" w:eastAsia="黑体" w:cs="Times New Roman"/>
        <w:b w:val="0"/>
        <w:i w:val="0"/>
        <w:sz w:val="21"/>
      </w:rPr>
    </w:lvl>
    <w:lvl w:ilvl="3" w:tentative="0">
      <w:start w:val="1"/>
      <w:numFmt w:val="decimal"/>
      <w:pStyle w:val="36"/>
      <w:suff w:val="nothing"/>
      <w:lvlText w:val="%1.%2.%3.%4　"/>
      <w:lvlJc w:val="left"/>
      <w:rPr>
        <w:rFonts w:hint="eastAsia" w:ascii="黑体" w:hAnsi="Times New Roman" w:eastAsia="黑体" w:cs="Times New Roman"/>
        <w:b w:val="0"/>
        <w:i w:val="0"/>
        <w:sz w:val="21"/>
      </w:rPr>
    </w:lvl>
    <w:lvl w:ilvl="4" w:tentative="0">
      <w:start w:val="1"/>
      <w:numFmt w:val="decimal"/>
      <w:pStyle w:val="37"/>
      <w:suff w:val="nothing"/>
      <w:lvlText w:val="%1.%2.%3.%4.%5　"/>
      <w:lvlJc w:val="left"/>
      <w:rPr>
        <w:rFonts w:hint="eastAsia" w:ascii="黑体" w:hAnsi="Times New Roman" w:eastAsia="黑体" w:cs="Times New Roman"/>
        <w:b w:val="0"/>
        <w:i w:val="0"/>
        <w:sz w:val="21"/>
      </w:rPr>
    </w:lvl>
    <w:lvl w:ilvl="5" w:tentative="0">
      <w:start w:val="1"/>
      <w:numFmt w:val="decimal"/>
      <w:pStyle w:val="38"/>
      <w:suff w:val="nothing"/>
      <w:lvlText w:val="%1.%2.%3.%4.%5.%6　"/>
      <w:lvlJc w:val="left"/>
      <w:rPr>
        <w:rFonts w:hint="eastAsia" w:ascii="黑体" w:hAnsi="Times New Roman" w:eastAsia="黑体" w:cs="Times New Roman"/>
        <w:b w:val="0"/>
        <w:i w:val="0"/>
        <w:sz w:val="21"/>
      </w:rPr>
    </w:lvl>
    <w:lvl w:ilvl="6" w:tentative="0">
      <w:start w:val="1"/>
      <w:numFmt w:val="decimal"/>
      <w:suff w:val="nothing"/>
      <w:lvlText w:val="%1%2.%3.%4.%5.%6.%7　"/>
      <w:lvlJc w:val="left"/>
      <w:rPr>
        <w:rFonts w:hint="eastAsia" w:ascii="黑体" w:hAnsi="Times New Roman" w:eastAsia="黑体" w:cs="Times New Roman"/>
        <w:b w:val="0"/>
        <w:i w:val="0"/>
        <w:sz w:val="21"/>
      </w:rPr>
    </w:lvl>
    <w:lvl w:ilvl="7" w:tentative="0">
      <w:start w:val="1"/>
      <w:numFmt w:val="decimal"/>
      <w:lvlText w:val="%1.%2.%3.%4.%5.%6.%7.%8"/>
      <w:lvlJc w:val="left"/>
      <w:pPr>
        <w:tabs>
          <w:tab w:val="left" w:pos="4351"/>
        </w:tabs>
        <w:ind w:left="3969" w:hanging="1418"/>
      </w:pPr>
      <w:rPr>
        <w:rFonts w:hint="eastAsia" w:cs="Times New Roman"/>
      </w:rPr>
    </w:lvl>
    <w:lvl w:ilvl="8" w:tentative="0">
      <w:start w:val="1"/>
      <w:numFmt w:val="decimal"/>
      <w:lvlText w:val="%1.%2.%3.%4.%5.%6.%7.%8.%9"/>
      <w:lvlJc w:val="left"/>
      <w:pPr>
        <w:tabs>
          <w:tab w:val="left" w:pos="4777"/>
        </w:tabs>
        <w:ind w:left="4677" w:hanging="1700"/>
      </w:pPr>
      <w:rPr>
        <w:rFonts w:hint="eastAsia" w:cs="Times New Roman"/>
      </w:rPr>
    </w:lvl>
  </w:abstractNum>
  <w:abstractNum w:abstractNumId="3">
    <w:nsid w:val="44C50F90"/>
    <w:multiLevelType w:val="multilevel"/>
    <w:tmpl w:val="44C50F90"/>
    <w:lvl w:ilvl="0" w:tentative="0">
      <w:start w:val="1"/>
      <w:numFmt w:val="lowerLetter"/>
      <w:pStyle w:val="61"/>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4">
    <w:nsid w:val="59F62166"/>
    <w:multiLevelType w:val="multilevel"/>
    <w:tmpl w:val="59F62166"/>
    <w:lvl w:ilvl="0" w:tentative="0">
      <w:start w:val="1"/>
      <w:numFmt w:val="none"/>
      <w:suff w:val="nothing"/>
      <w:lvlText w:val="%1"/>
      <w:lvlJc w:val="left"/>
      <w:pPr>
        <w:ind w:left="0" w:firstLine="0"/>
      </w:pPr>
    </w:lvl>
    <w:lvl w:ilvl="1" w:tentative="0">
      <w:start w:val="1"/>
      <w:numFmt w:val="decimal"/>
      <w:suff w:val="nothing"/>
      <w:lvlText w:val="%1%2　"/>
      <w:lvlJc w:val="left"/>
      <w:pPr>
        <w:ind w:left="568" w:firstLine="0"/>
      </w:pPr>
      <w:rPr>
        <w:rFonts w:hint="eastAsia" w:ascii="黑体" w:hAnsi="Times New Roman" w:eastAsia="黑体" w:cs="黑体"/>
        <w:b w:val="0"/>
        <w:i w:val="0"/>
        <w:sz w:val="21"/>
      </w:rPr>
    </w:lvl>
    <w:lvl w:ilvl="2" w:tentative="0">
      <w:start w:val="1"/>
      <w:numFmt w:val="decimal"/>
      <w:pStyle w:val="51"/>
      <w:suff w:val="nothing"/>
      <w:lvlText w:val="%1%2.%3　"/>
      <w:lvlJc w:val="left"/>
      <w:pPr>
        <w:ind w:left="0" w:firstLine="0"/>
        <w:textAlignment w:val="baseline"/>
      </w:pPr>
      <w:rPr>
        <w:rFonts w:hint="eastAsia" w:ascii="黑体" w:hAnsi="Times New Roman" w:eastAsia="黑体" w:cs="Times New Roman"/>
        <w:b w:val="0"/>
        <w:bCs w:val="0"/>
        <w:i w:val="0"/>
        <w:iCs w:val="0"/>
        <w:caps w:val="0"/>
        <w:strike w:val="0"/>
        <w:dstrike w:val="0"/>
        <w:vanish w:val="0"/>
        <w:color w:val="000000"/>
        <w:spacing w:val="0"/>
        <w:kern w:val="0"/>
        <w:position w:val="0"/>
        <w:sz w:val="21"/>
        <w:u w:val="none"/>
      </w:rPr>
    </w:lvl>
    <w:lvl w:ilvl="3" w:tentative="0">
      <w:start w:val="1"/>
      <w:numFmt w:val="decimal"/>
      <w:suff w:val="nothing"/>
      <w:lvlText w:val="%1%2.%3.%4　"/>
      <w:lvlJc w:val="left"/>
      <w:pPr>
        <w:ind w:left="1702" w:firstLine="0"/>
      </w:pPr>
      <w:rPr>
        <w:rFonts w:hint="eastAsia" w:ascii="黑体" w:hAnsi="Times New Roman" w:eastAsia="黑体" w:cs="黑体"/>
        <w:b w:val="0"/>
        <w:i w:val="0"/>
        <w:sz w:val="21"/>
      </w:rPr>
    </w:lvl>
    <w:lvl w:ilvl="4" w:tentative="0">
      <w:start w:val="1"/>
      <w:numFmt w:val="decimal"/>
      <w:suff w:val="nothing"/>
      <w:lvlText w:val="%1%2.%3.%4.%5　"/>
      <w:lvlJc w:val="left"/>
      <w:pPr>
        <w:ind w:left="0" w:firstLine="0"/>
      </w:pPr>
      <w:rPr>
        <w:rFonts w:hint="eastAsia" w:ascii="黑体" w:hAnsi="Times New Roman" w:eastAsia="黑体" w:cs="黑体"/>
        <w:b w:val="0"/>
        <w:i w:val="0"/>
        <w:sz w:val="21"/>
      </w:rPr>
    </w:lvl>
    <w:lvl w:ilvl="5" w:tentative="0">
      <w:start w:val="1"/>
      <w:numFmt w:val="decimal"/>
      <w:suff w:val="nothing"/>
      <w:lvlText w:val="%1%2.%3.%4.%5.%6　"/>
      <w:lvlJc w:val="left"/>
      <w:pPr>
        <w:ind w:left="0" w:firstLine="0"/>
      </w:pPr>
      <w:rPr>
        <w:rFonts w:hint="eastAsia" w:ascii="黑体" w:hAnsi="Times New Roman" w:eastAsia="黑体" w:cs="黑体"/>
        <w:b w:val="0"/>
        <w:i w:val="0"/>
        <w:sz w:val="21"/>
      </w:rPr>
    </w:lvl>
    <w:lvl w:ilvl="6" w:tentative="0">
      <w:start w:val="1"/>
      <w:numFmt w:val="decimal"/>
      <w:suff w:val="nothing"/>
      <w:lvlText w:val="%1%2.%3.%4.%5.%6.%7　"/>
      <w:lvlJc w:val="left"/>
      <w:pPr>
        <w:ind w:left="0" w:firstLine="0"/>
      </w:pPr>
      <w:rPr>
        <w:rFonts w:hint="eastAsia" w:ascii="黑体" w:hAnsi="Times New Roman" w:eastAsia="黑体" w:cs="黑体"/>
        <w:b w:val="0"/>
        <w:i w:val="0"/>
        <w:sz w:val="21"/>
      </w:rPr>
    </w:lvl>
    <w:lvl w:ilvl="7" w:tentative="0">
      <w:start w:val="1"/>
      <w:numFmt w:val="decimal"/>
      <w:lvlText w:val="%1.%2.%3.%4.%5.%6.%7.%8"/>
      <w:lvlJc w:val="left"/>
      <w:pPr>
        <w:tabs>
          <w:tab w:val="left" w:pos="4351"/>
        </w:tabs>
        <w:ind w:left="3972" w:hanging="1418"/>
      </w:pPr>
    </w:lvl>
    <w:lvl w:ilvl="8" w:tentative="0">
      <w:start w:val="1"/>
      <w:numFmt w:val="decimal"/>
      <w:lvlText w:val="%1.%2.%3.%4.%5.%6.%7.%8.%9"/>
      <w:lvlJc w:val="left"/>
      <w:pPr>
        <w:tabs>
          <w:tab w:val="left" w:pos="4777"/>
        </w:tabs>
        <w:ind w:left="4677" w:hanging="1700"/>
      </w:pPr>
    </w:lvl>
  </w:abstractNum>
  <w:abstractNum w:abstractNumId="5">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59"/>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49"/>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2"/>
  </w:num>
  <w:num w:numId="2">
    <w:abstractNumId w:val="5"/>
  </w:num>
  <w:num w:numId="3">
    <w:abstractNumId w:val="4"/>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doNotDisplayPageBoundaries w:val="1"/>
  <w:displayBackgroundShape w:val="1"/>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U5ZjhjMTA5NDM0ZWIwOTI5NzVkYTU2Y2JhN2NlYmYifQ=="/>
  </w:docVars>
  <w:rsids>
    <w:rsidRoot w:val="0096469E"/>
    <w:rsid w:val="000114B4"/>
    <w:rsid w:val="00017B1D"/>
    <w:rsid w:val="00022643"/>
    <w:rsid w:val="00025B55"/>
    <w:rsid w:val="00025D11"/>
    <w:rsid w:val="00037ACB"/>
    <w:rsid w:val="000407A3"/>
    <w:rsid w:val="00043B4E"/>
    <w:rsid w:val="00045875"/>
    <w:rsid w:val="0005542F"/>
    <w:rsid w:val="00056F87"/>
    <w:rsid w:val="00066261"/>
    <w:rsid w:val="0007146F"/>
    <w:rsid w:val="00072577"/>
    <w:rsid w:val="00072F4F"/>
    <w:rsid w:val="00073793"/>
    <w:rsid w:val="00082937"/>
    <w:rsid w:val="000900B2"/>
    <w:rsid w:val="00092D45"/>
    <w:rsid w:val="000A3FEB"/>
    <w:rsid w:val="000A5CD1"/>
    <w:rsid w:val="000A791C"/>
    <w:rsid w:val="000B1135"/>
    <w:rsid w:val="000B61FC"/>
    <w:rsid w:val="000C183F"/>
    <w:rsid w:val="000C3CF8"/>
    <w:rsid w:val="000C53A8"/>
    <w:rsid w:val="000E443A"/>
    <w:rsid w:val="000F02FB"/>
    <w:rsid w:val="000F16F7"/>
    <w:rsid w:val="000F2010"/>
    <w:rsid w:val="00100323"/>
    <w:rsid w:val="0010116E"/>
    <w:rsid w:val="0010331E"/>
    <w:rsid w:val="00104338"/>
    <w:rsid w:val="00104A25"/>
    <w:rsid w:val="00104E7E"/>
    <w:rsid w:val="0010676A"/>
    <w:rsid w:val="00110C87"/>
    <w:rsid w:val="00110EF3"/>
    <w:rsid w:val="00117194"/>
    <w:rsid w:val="00122529"/>
    <w:rsid w:val="00122EBC"/>
    <w:rsid w:val="00123CC3"/>
    <w:rsid w:val="00124BE3"/>
    <w:rsid w:val="00130D4C"/>
    <w:rsid w:val="001323AB"/>
    <w:rsid w:val="00145ED0"/>
    <w:rsid w:val="00147096"/>
    <w:rsid w:val="00147A3D"/>
    <w:rsid w:val="00152AF1"/>
    <w:rsid w:val="00152C49"/>
    <w:rsid w:val="001549D5"/>
    <w:rsid w:val="00171EA4"/>
    <w:rsid w:val="0017770D"/>
    <w:rsid w:val="001846AC"/>
    <w:rsid w:val="00193DFF"/>
    <w:rsid w:val="0019450A"/>
    <w:rsid w:val="0019540A"/>
    <w:rsid w:val="001A1DFA"/>
    <w:rsid w:val="001A3BB1"/>
    <w:rsid w:val="001B126A"/>
    <w:rsid w:val="001B3F1C"/>
    <w:rsid w:val="001B4652"/>
    <w:rsid w:val="001B707C"/>
    <w:rsid w:val="001C0100"/>
    <w:rsid w:val="001C0641"/>
    <w:rsid w:val="001C3586"/>
    <w:rsid w:val="001C3BA2"/>
    <w:rsid w:val="001D0D5D"/>
    <w:rsid w:val="001D3711"/>
    <w:rsid w:val="001E0E1B"/>
    <w:rsid w:val="001E3571"/>
    <w:rsid w:val="0021078E"/>
    <w:rsid w:val="00210DB3"/>
    <w:rsid w:val="002161C3"/>
    <w:rsid w:val="00217651"/>
    <w:rsid w:val="00224D5A"/>
    <w:rsid w:val="00241EE1"/>
    <w:rsid w:val="00245165"/>
    <w:rsid w:val="002452A9"/>
    <w:rsid w:val="00250A68"/>
    <w:rsid w:val="00250C28"/>
    <w:rsid w:val="00250FF3"/>
    <w:rsid w:val="00254B09"/>
    <w:rsid w:val="0026648A"/>
    <w:rsid w:val="00270911"/>
    <w:rsid w:val="00270FFC"/>
    <w:rsid w:val="0027149D"/>
    <w:rsid w:val="00272B39"/>
    <w:rsid w:val="002741F2"/>
    <w:rsid w:val="0027486D"/>
    <w:rsid w:val="0027781F"/>
    <w:rsid w:val="00285239"/>
    <w:rsid w:val="002A2C0F"/>
    <w:rsid w:val="002A6E03"/>
    <w:rsid w:val="002A72AD"/>
    <w:rsid w:val="002B5B49"/>
    <w:rsid w:val="002B68C9"/>
    <w:rsid w:val="002C374D"/>
    <w:rsid w:val="002D3D5F"/>
    <w:rsid w:val="002D7DA2"/>
    <w:rsid w:val="002F3F5E"/>
    <w:rsid w:val="00301381"/>
    <w:rsid w:val="00301A88"/>
    <w:rsid w:val="00304108"/>
    <w:rsid w:val="00307671"/>
    <w:rsid w:val="00310007"/>
    <w:rsid w:val="00322722"/>
    <w:rsid w:val="00325081"/>
    <w:rsid w:val="00325174"/>
    <w:rsid w:val="003300C4"/>
    <w:rsid w:val="003345F2"/>
    <w:rsid w:val="00334CC8"/>
    <w:rsid w:val="00336C5C"/>
    <w:rsid w:val="003403A6"/>
    <w:rsid w:val="00343C55"/>
    <w:rsid w:val="003460C2"/>
    <w:rsid w:val="00355184"/>
    <w:rsid w:val="00357C78"/>
    <w:rsid w:val="00361948"/>
    <w:rsid w:val="00361D22"/>
    <w:rsid w:val="00362F86"/>
    <w:rsid w:val="00365E8B"/>
    <w:rsid w:val="00366DBD"/>
    <w:rsid w:val="00370495"/>
    <w:rsid w:val="003732AA"/>
    <w:rsid w:val="00380411"/>
    <w:rsid w:val="003822B3"/>
    <w:rsid w:val="0038237F"/>
    <w:rsid w:val="0039603B"/>
    <w:rsid w:val="003A3A23"/>
    <w:rsid w:val="003A502A"/>
    <w:rsid w:val="003C4129"/>
    <w:rsid w:val="003C6E95"/>
    <w:rsid w:val="003D12C5"/>
    <w:rsid w:val="003D200D"/>
    <w:rsid w:val="003D536D"/>
    <w:rsid w:val="003E2608"/>
    <w:rsid w:val="003E53A7"/>
    <w:rsid w:val="003E59D7"/>
    <w:rsid w:val="003E699B"/>
    <w:rsid w:val="003F0C6F"/>
    <w:rsid w:val="003F1A8D"/>
    <w:rsid w:val="003F371C"/>
    <w:rsid w:val="003F6EC5"/>
    <w:rsid w:val="00405371"/>
    <w:rsid w:val="004173C2"/>
    <w:rsid w:val="004177FA"/>
    <w:rsid w:val="0043137A"/>
    <w:rsid w:val="004363ED"/>
    <w:rsid w:val="00443715"/>
    <w:rsid w:val="004476ED"/>
    <w:rsid w:val="00447863"/>
    <w:rsid w:val="004553E9"/>
    <w:rsid w:val="00465375"/>
    <w:rsid w:val="00467FC4"/>
    <w:rsid w:val="0047791A"/>
    <w:rsid w:val="00480E0A"/>
    <w:rsid w:val="00481BF7"/>
    <w:rsid w:val="004835DC"/>
    <w:rsid w:val="00484D88"/>
    <w:rsid w:val="004A6BA1"/>
    <w:rsid w:val="004B2A38"/>
    <w:rsid w:val="004C68EA"/>
    <w:rsid w:val="004D0DEF"/>
    <w:rsid w:val="004D0FD8"/>
    <w:rsid w:val="004D21FD"/>
    <w:rsid w:val="004D341F"/>
    <w:rsid w:val="004D63FE"/>
    <w:rsid w:val="004E27B1"/>
    <w:rsid w:val="004E4082"/>
    <w:rsid w:val="004E4267"/>
    <w:rsid w:val="004E7954"/>
    <w:rsid w:val="004E79DF"/>
    <w:rsid w:val="004F0D09"/>
    <w:rsid w:val="004F4F09"/>
    <w:rsid w:val="005000F6"/>
    <w:rsid w:val="00504BCE"/>
    <w:rsid w:val="00511EF9"/>
    <w:rsid w:val="005145FD"/>
    <w:rsid w:val="00516A78"/>
    <w:rsid w:val="0053086E"/>
    <w:rsid w:val="00531201"/>
    <w:rsid w:val="00534B25"/>
    <w:rsid w:val="00534EB9"/>
    <w:rsid w:val="0053580B"/>
    <w:rsid w:val="005362CC"/>
    <w:rsid w:val="0054378D"/>
    <w:rsid w:val="00547534"/>
    <w:rsid w:val="00547B90"/>
    <w:rsid w:val="005560D0"/>
    <w:rsid w:val="00557959"/>
    <w:rsid w:val="00561CCE"/>
    <w:rsid w:val="00563274"/>
    <w:rsid w:val="0057399C"/>
    <w:rsid w:val="00574C66"/>
    <w:rsid w:val="005750B0"/>
    <w:rsid w:val="005841DF"/>
    <w:rsid w:val="00586FEC"/>
    <w:rsid w:val="00587473"/>
    <w:rsid w:val="00587F61"/>
    <w:rsid w:val="005915E9"/>
    <w:rsid w:val="00592E79"/>
    <w:rsid w:val="0059651A"/>
    <w:rsid w:val="005A582E"/>
    <w:rsid w:val="005A6CB0"/>
    <w:rsid w:val="005B569A"/>
    <w:rsid w:val="005B7C3A"/>
    <w:rsid w:val="005D710D"/>
    <w:rsid w:val="005D73A8"/>
    <w:rsid w:val="005D76C7"/>
    <w:rsid w:val="00602783"/>
    <w:rsid w:val="00607E2B"/>
    <w:rsid w:val="00610043"/>
    <w:rsid w:val="006116B7"/>
    <w:rsid w:val="00611EC8"/>
    <w:rsid w:val="00611FB9"/>
    <w:rsid w:val="006134E3"/>
    <w:rsid w:val="00622B8D"/>
    <w:rsid w:val="00626A4F"/>
    <w:rsid w:val="00634D1B"/>
    <w:rsid w:val="00641D6A"/>
    <w:rsid w:val="00651B80"/>
    <w:rsid w:val="006555BB"/>
    <w:rsid w:val="00655A04"/>
    <w:rsid w:val="00655EA3"/>
    <w:rsid w:val="006607EC"/>
    <w:rsid w:val="006638E1"/>
    <w:rsid w:val="00663E14"/>
    <w:rsid w:val="00665BAD"/>
    <w:rsid w:val="00674F9E"/>
    <w:rsid w:val="00677865"/>
    <w:rsid w:val="00684DD5"/>
    <w:rsid w:val="00687B29"/>
    <w:rsid w:val="00694990"/>
    <w:rsid w:val="006963CD"/>
    <w:rsid w:val="006A6E4A"/>
    <w:rsid w:val="006B06C8"/>
    <w:rsid w:val="006C7E85"/>
    <w:rsid w:val="006D0A34"/>
    <w:rsid w:val="006D2380"/>
    <w:rsid w:val="006D30E9"/>
    <w:rsid w:val="006D4A11"/>
    <w:rsid w:val="006D4FAF"/>
    <w:rsid w:val="006E0E3D"/>
    <w:rsid w:val="006E4243"/>
    <w:rsid w:val="006F2DD2"/>
    <w:rsid w:val="006F4BD2"/>
    <w:rsid w:val="00700384"/>
    <w:rsid w:val="00703EF1"/>
    <w:rsid w:val="007055BB"/>
    <w:rsid w:val="00705C96"/>
    <w:rsid w:val="00706785"/>
    <w:rsid w:val="0070760E"/>
    <w:rsid w:val="00711212"/>
    <w:rsid w:val="007130EC"/>
    <w:rsid w:val="00715362"/>
    <w:rsid w:val="007327CC"/>
    <w:rsid w:val="00737867"/>
    <w:rsid w:val="00743A05"/>
    <w:rsid w:val="007477E5"/>
    <w:rsid w:val="00756665"/>
    <w:rsid w:val="00760014"/>
    <w:rsid w:val="007607CE"/>
    <w:rsid w:val="00763642"/>
    <w:rsid w:val="00764FB1"/>
    <w:rsid w:val="007713D9"/>
    <w:rsid w:val="00773916"/>
    <w:rsid w:val="00774258"/>
    <w:rsid w:val="00775241"/>
    <w:rsid w:val="007821A4"/>
    <w:rsid w:val="007844F3"/>
    <w:rsid w:val="00793C49"/>
    <w:rsid w:val="00794DE0"/>
    <w:rsid w:val="00795241"/>
    <w:rsid w:val="007958E0"/>
    <w:rsid w:val="007A5207"/>
    <w:rsid w:val="007C0811"/>
    <w:rsid w:val="007C2CDB"/>
    <w:rsid w:val="007C50CD"/>
    <w:rsid w:val="007C6907"/>
    <w:rsid w:val="007D018E"/>
    <w:rsid w:val="007D29E2"/>
    <w:rsid w:val="007D632D"/>
    <w:rsid w:val="007D6A53"/>
    <w:rsid w:val="007D7861"/>
    <w:rsid w:val="007E01CE"/>
    <w:rsid w:val="007E7382"/>
    <w:rsid w:val="007E79BB"/>
    <w:rsid w:val="007F4FA0"/>
    <w:rsid w:val="007F6AC1"/>
    <w:rsid w:val="008114C9"/>
    <w:rsid w:val="00813BDB"/>
    <w:rsid w:val="008225E6"/>
    <w:rsid w:val="00827C44"/>
    <w:rsid w:val="008314C2"/>
    <w:rsid w:val="00831C94"/>
    <w:rsid w:val="008423D8"/>
    <w:rsid w:val="00847D25"/>
    <w:rsid w:val="00853B6D"/>
    <w:rsid w:val="00857F9A"/>
    <w:rsid w:val="00861151"/>
    <w:rsid w:val="00863BBB"/>
    <w:rsid w:val="00866B16"/>
    <w:rsid w:val="00866CE8"/>
    <w:rsid w:val="00870FD6"/>
    <w:rsid w:val="00872790"/>
    <w:rsid w:val="00873F68"/>
    <w:rsid w:val="00876310"/>
    <w:rsid w:val="008806AB"/>
    <w:rsid w:val="00880EAC"/>
    <w:rsid w:val="00882C47"/>
    <w:rsid w:val="00886776"/>
    <w:rsid w:val="00892C16"/>
    <w:rsid w:val="00892E88"/>
    <w:rsid w:val="008C1475"/>
    <w:rsid w:val="008C3187"/>
    <w:rsid w:val="008C40C1"/>
    <w:rsid w:val="008D07CD"/>
    <w:rsid w:val="008D3591"/>
    <w:rsid w:val="008E1399"/>
    <w:rsid w:val="008E4275"/>
    <w:rsid w:val="008E5173"/>
    <w:rsid w:val="008E7413"/>
    <w:rsid w:val="008F5AF4"/>
    <w:rsid w:val="008F6210"/>
    <w:rsid w:val="009015FA"/>
    <w:rsid w:val="00902BEC"/>
    <w:rsid w:val="00904D25"/>
    <w:rsid w:val="009101E6"/>
    <w:rsid w:val="0091173C"/>
    <w:rsid w:val="009214C4"/>
    <w:rsid w:val="00923997"/>
    <w:rsid w:val="00927E8C"/>
    <w:rsid w:val="009308CB"/>
    <w:rsid w:val="00930B9B"/>
    <w:rsid w:val="00951787"/>
    <w:rsid w:val="00954CAF"/>
    <w:rsid w:val="00955080"/>
    <w:rsid w:val="00957C71"/>
    <w:rsid w:val="00962F85"/>
    <w:rsid w:val="00964145"/>
    <w:rsid w:val="0096469E"/>
    <w:rsid w:val="00964AC9"/>
    <w:rsid w:val="00965C72"/>
    <w:rsid w:val="009666A4"/>
    <w:rsid w:val="00966805"/>
    <w:rsid w:val="0096705F"/>
    <w:rsid w:val="009671F4"/>
    <w:rsid w:val="00967C94"/>
    <w:rsid w:val="00973F38"/>
    <w:rsid w:val="009772C4"/>
    <w:rsid w:val="00985CE3"/>
    <w:rsid w:val="0098612F"/>
    <w:rsid w:val="009973BB"/>
    <w:rsid w:val="009A24FE"/>
    <w:rsid w:val="009A5DF1"/>
    <w:rsid w:val="009A7605"/>
    <w:rsid w:val="009A7B0B"/>
    <w:rsid w:val="009B7085"/>
    <w:rsid w:val="009C0702"/>
    <w:rsid w:val="009D1142"/>
    <w:rsid w:val="009E1DBD"/>
    <w:rsid w:val="009F546C"/>
    <w:rsid w:val="00A04B27"/>
    <w:rsid w:val="00A10E7F"/>
    <w:rsid w:val="00A15A51"/>
    <w:rsid w:val="00A163E2"/>
    <w:rsid w:val="00A2514F"/>
    <w:rsid w:val="00A3274C"/>
    <w:rsid w:val="00A335C0"/>
    <w:rsid w:val="00A34B68"/>
    <w:rsid w:val="00A37834"/>
    <w:rsid w:val="00A41BC1"/>
    <w:rsid w:val="00A429E6"/>
    <w:rsid w:val="00A42BAF"/>
    <w:rsid w:val="00A445F4"/>
    <w:rsid w:val="00A47E12"/>
    <w:rsid w:val="00A50C7F"/>
    <w:rsid w:val="00A510AB"/>
    <w:rsid w:val="00A51210"/>
    <w:rsid w:val="00A51E2B"/>
    <w:rsid w:val="00A52799"/>
    <w:rsid w:val="00A52E79"/>
    <w:rsid w:val="00A57661"/>
    <w:rsid w:val="00A6242C"/>
    <w:rsid w:val="00A672F6"/>
    <w:rsid w:val="00A738F6"/>
    <w:rsid w:val="00A7593D"/>
    <w:rsid w:val="00A85139"/>
    <w:rsid w:val="00A9234A"/>
    <w:rsid w:val="00A9393A"/>
    <w:rsid w:val="00AA4883"/>
    <w:rsid w:val="00AA5DCB"/>
    <w:rsid w:val="00AA6448"/>
    <w:rsid w:val="00AA6560"/>
    <w:rsid w:val="00AA6986"/>
    <w:rsid w:val="00AB0CB1"/>
    <w:rsid w:val="00AC0DAF"/>
    <w:rsid w:val="00AC7D89"/>
    <w:rsid w:val="00AD6FE5"/>
    <w:rsid w:val="00AE2B2C"/>
    <w:rsid w:val="00AE7136"/>
    <w:rsid w:val="00B00068"/>
    <w:rsid w:val="00B0024C"/>
    <w:rsid w:val="00B03220"/>
    <w:rsid w:val="00B06492"/>
    <w:rsid w:val="00B07D37"/>
    <w:rsid w:val="00B112F8"/>
    <w:rsid w:val="00B13FA5"/>
    <w:rsid w:val="00B15023"/>
    <w:rsid w:val="00B20829"/>
    <w:rsid w:val="00B2145B"/>
    <w:rsid w:val="00B3070F"/>
    <w:rsid w:val="00B30805"/>
    <w:rsid w:val="00B31ECA"/>
    <w:rsid w:val="00B44F01"/>
    <w:rsid w:val="00B459C5"/>
    <w:rsid w:val="00B5151F"/>
    <w:rsid w:val="00B5527A"/>
    <w:rsid w:val="00B56D93"/>
    <w:rsid w:val="00B5779B"/>
    <w:rsid w:val="00B62032"/>
    <w:rsid w:val="00B66B47"/>
    <w:rsid w:val="00B67A6D"/>
    <w:rsid w:val="00B703E6"/>
    <w:rsid w:val="00B77D7E"/>
    <w:rsid w:val="00B81437"/>
    <w:rsid w:val="00B8324B"/>
    <w:rsid w:val="00B83C7E"/>
    <w:rsid w:val="00B87900"/>
    <w:rsid w:val="00B9125C"/>
    <w:rsid w:val="00B92181"/>
    <w:rsid w:val="00B93694"/>
    <w:rsid w:val="00B9434B"/>
    <w:rsid w:val="00BA3025"/>
    <w:rsid w:val="00BA5DB9"/>
    <w:rsid w:val="00BA6851"/>
    <w:rsid w:val="00BB5D1E"/>
    <w:rsid w:val="00BC214C"/>
    <w:rsid w:val="00BC24B8"/>
    <w:rsid w:val="00BD02D8"/>
    <w:rsid w:val="00BD0BD9"/>
    <w:rsid w:val="00BD16A3"/>
    <w:rsid w:val="00BD3CC5"/>
    <w:rsid w:val="00BD5B66"/>
    <w:rsid w:val="00BE06DE"/>
    <w:rsid w:val="00BE1856"/>
    <w:rsid w:val="00BE4657"/>
    <w:rsid w:val="00BE5464"/>
    <w:rsid w:val="00C00273"/>
    <w:rsid w:val="00C018A4"/>
    <w:rsid w:val="00C0256F"/>
    <w:rsid w:val="00C04FE8"/>
    <w:rsid w:val="00C06759"/>
    <w:rsid w:val="00C06787"/>
    <w:rsid w:val="00C11035"/>
    <w:rsid w:val="00C140FB"/>
    <w:rsid w:val="00C22920"/>
    <w:rsid w:val="00C254B2"/>
    <w:rsid w:val="00C26FC2"/>
    <w:rsid w:val="00C30225"/>
    <w:rsid w:val="00C3168E"/>
    <w:rsid w:val="00C331ED"/>
    <w:rsid w:val="00C3727E"/>
    <w:rsid w:val="00C414A9"/>
    <w:rsid w:val="00C42C7D"/>
    <w:rsid w:val="00C43613"/>
    <w:rsid w:val="00C45474"/>
    <w:rsid w:val="00C65E70"/>
    <w:rsid w:val="00C7048B"/>
    <w:rsid w:val="00C80BA7"/>
    <w:rsid w:val="00C83BD5"/>
    <w:rsid w:val="00C84BC3"/>
    <w:rsid w:val="00C86625"/>
    <w:rsid w:val="00C868B0"/>
    <w:rsid w:val="00C91BBB"/>
    <w:rsid w:val="00CA2C81"/>
    <w:rsid w:val="00CA30FB"/>
    <w:rsid w:val="00CA59DE"/>
    <w:rsid w:val="00CB5905"/>
    <w:rsid w:val="00CD1D67"/>
    <w:rsid w:val="00CD2F7D"/>
    <w:rsid w:val="00CF4C0D"/>
    <w:rsid w:val="00D00D3D"/>
    <w:rsid w:val="00D01278"/>
    <w:rsid w:val="00D12BCC"/>
    <w:rsid w:val="00D20275"/>
    <w:rsid w:val="00D27B70"/>
    <w:rsid w:val="00D3197F"/>
    <w:rsid w:val="00D355FD"/>
    <w:rsid w:val="00D42012"/>
    <w:rsid w:val="00D4571F"/>
    <w:rsid w:val="00D458E5"/>
    <w:rsid w:val="00D47FB5"/>
    <w:rsid w:val="00D51BBE"/>
    <w:rsid w:val="00D574D9"/>
    <w:rsid w:val="00D6128A"/>
    <w:rsid w:val="00D62F7A"/>
    <w:rsid w:val="00D6797D"/>
    <w:rsid w:val="00D77070"/>
    <w:rsid w:val="00D83695"/>
    <w:rsid w:val="00D91BB8"/>
    <w:rsid w:val="00D932D7"/>
    <w:rsid w:val="00DA0C24"/>
    <w:rsid w:val="00DA7370"/>
    <w:rsid w:val="00DA7E30"/>
    <w:rsid w:val="00DB5B8B"/>
    <w:rsid w:val="00DC36B3"/>
    <w:rsid w:val="00DD0BE0"/>
    <w:rsid w:val="00DD2DF4"/>
    <w:rsid w:val="00DD753D"/>
    <w:rsid w:val="00DD7C88"/>
    <w:rsid w:val="00DF07A5"/>
    <w:rsid w:val="00DF10C3"/>
    <w:rsid w:val="00DF222C"/>
    <w:rsid w:val="00DF634B"/>
    <w:rsid w:val="00E01692"/>
    <w:rsid w:val="00E02030"/>
    <w:rsid w:val="00E11A56"/>
    <w:rsid w:val="00E176EA"/>
    <w:rsid w:val="00E17E1A"/>
    <w:rsid w:val="00E21498"/>
    <w:rsid w:val="00E2496B"/>
    <w:rsid w:val="00E26E9D"/>
    <w:rsid w:val="00E43686"/>
    <w:rsid w:val="00E52F76"/>
    <w:rsid w:val="00E54F8B"/>
    <w:rsid w:val="00E61851"/>
    <w:rsid w:val="00E67ADF"/>
    <w:rsid w:val="00E74C4A"/>
    <w:rsid w:val="00E8031E"/>
    <w:rsid w:val="00E81579"/>
    <w:rsid w:val="00E84CD5"/>
    <w:rsid w:val="00E8664C"/>
    <w:rsid w:val="00E873C7"/>
    <w:rsid w:val="00E9080C"/>
    <w:rsid w:val="00E91360"/>
    <w:rsid w:val="00E92316"/>
    <w:rsid w:val="00E95FFF"/>
    <w:rsid w:val="00E979B7"/>
    <w:rsid w:val="00E97C4A"/>
    <w:rsid w:val="00EA058C"/>
    <w:rsid w:val="00EA1B98"/>
    <w:rsid w:val="00EA2FDF"/>
    <w:rsid w:val="00EA503C"/>
    <w:rsid w:val="00EA559E"/>
    <w:rsid w:val="00EA67F3"/>
    <w:rsid w:val="00EB4429"/>
    <w:rsid w:val="00EB66F8"/>
    <w:rsid w:val="00EC0201"/>
    <w:rsid w:val="00EC18FE"/>
    <w:rsid w:val="00EC4B24"/>
    <w:rsid w:val="00EC7428"/>
    <w:rsid w:val="00ED1239"/>
    <w:rsid w:val="00ED4FAA"/>
    <w:rsid w:val="00ED65BE"/>
    <w:rsid w:val="00EE1C17"/>
    <w:rsid w:val="00EF04C8"/>
    <w:rsid w:val="00EF2B7A"/>
    <w:rsid w:val="00F05514"/>
    <w:rsid w:val="00F1384A"/>
    <w:rsid w:val="00F15845"/>
    <w:rsid w:val="00F23F1D"/>
    <w:rsid w:val="00F24123"/>
    <w:rsid w:val="00F24A22"/>
    <w:rsid w:val="00F37D32"/>
    <w:rsid w:val="00F47512"/>
    <w:rsid w:val="00F47FB1"/>
    <w:rsid w:val="00F57942"/>
    <w:rsid w:val="00F62D6B"/>
    <w:rsid w:val="00F64642"/>
    <w:rsid w:val="00F72B53"/>
    <w:rsid w:val="00F75E87"/>
    <w:rsid w:val="00F76805"/>
    <w:rsid w:val="00F82D9D"/>
    <w:rsid w:val="00F85088"/>
    <w:rsid w:val="00F90697"/>
    <w:rsid w:val="00F924A3"/>
    <w:rsid w:val="00F9715D"/>
    <w:rsid w:val="00FA12F1"/>
    <w:rsid w:val="00FA37ED"/>
    <w:rsid w:val="00FB344E"/>
    <w:rsid w:val="00FB4E4F"/>
    <w:rsid w:val="00FC39E2"/>
    <w:rsid w:val="00FC585A"/>
    <w:rsid w:val="00FC5CC7"/>
    <w:rsid w:val="00FC757E"/>
    <w:rsid w:val="00FD274D"/>
    <w:rsid w:val="00FD2B3E"/>
    <w:rsid w:val="00FE42F4"/>
    <w:rsid w:val="00FF12AF"/>
    <w:rsid w:val="00FF258C"/>
    <w:rsid w:val="0108643C"/>
    <w:rsid w:val="01086C64"/>
    <w:rsid w:val="010F1DA1"/>
    <w:rsid w:val="011B5B3E"/>
    <w:rsid w:val="01226080"/>
    <w:rsid w:val="01233A9E"/>
    <w:rsid w:val="0147153B"/>
    <w:rsid w:val="015508D5"/>
    <w:rsid w:val="015750FB"/>
    <w:rsid w:val="016245C6"/>
    <w:rsid w:val="017E0CD4"/>
    <w:rsid w:val="018E4DBF"/>
    <w:rsid w:val="018F6A3E"/>
    <w:rsid w:val="019D55FE"/>
    <w:rsid w:val="01D134FA"/>
    <w:rsid w:val="01D17056"/>
    <w:rsid w:val="01D86637"/>
    <w:rsid w:val="01DF79C5"/>
    <w:rsid w:val="01EE5E5A"/>
    <w:rsid w:val="01F176F8"/>
    <w:rsid w:val="01F62F61"/>
    <w:rsid w:val="02105DD0"/>
    <w:rsid w:val="02247ACE"/>
    <w:rsid w:val="022C24DE"/>
    <w:rsid w:val="0243439C"/>
    <w:rsid w:val="0245057E"/>
    <w:rsid w:val="025E2EB0"/>
    <w:rsid w:val="026305F6"/>
    <w:rsid w:val="02777BFD"/>
    <w:rsid w:val="027F6AB2"/>
    <w:rsid w:val="02B56978"/>
    <w:rsid w:val="02C24BF1"/>
    <w:rsid w:val="02C31C63"/>
    <w:rsid w:val="02C72207"/>
    <w:rsid w:val="02CF7A3A"/>
    <w:rsid w:val="02DA018C"/>
    <w:rsid w:val="02DF57A3"/>
    <w:rsid w:val="02F54FC6"/>
    <w:rsid w:val="02FA25DD"/>
    <w:rsid w:val="03065425"/>
    <w:rsid w:val="03092820"/>
    <w:rsid w:val="030D0562"/>
    <w:rsid w:val="031511C4"/>
    <w:rsid w:val="03174F3D"/>
    <w:rsid w:val="031E5F60"/>
    <w:rsid w:val="03237D85"/>
    <w:rsid w:val="03253AFD"/>
    <w:rsid w:val="03280EF8"/>
    <w:rsid w:val="03457CFC"/>
    <w:rsid w:val="034877EC"/>
    <w:rsid w:val="0350044F"/>
    <w:rsid w:val="03511AD9"/>
    <w:rsid w:val="036068E4"/>
    <w:rsid w:val="03655CA8"/>
    <w:rsid w:val="036C34DA"/>
    <w:rsid w:val="03716D43"/>
    <w:rsid w:val="037C0413"/>
    <w:rsid w:val="037E6D6A"/>
    <w:rsid w:val="03942A31"/>
    <w:rsid w:val="039D7B38"/>
    <w:rsid w:val="03A367D0"/>
    <w:rsid w:val="03A5079A"/>
    <w:rsid w:val="03AC7D7B"/>
    <w:rsid w:val="03AF1619"/>
    <w:rsid w:val="03B409DD"/>
    <w:rsid w:val="03B7227C"/>
    <w:rsid w:val="03B94246"/>
    <w:rsid w:val="03BD3658"/>
    <w:rsid w:val="03F71F4B"/>
    <w:rsid w:val="04097F2D"/>
    <w:rsid w:val="04305D54"/>
    <w:rsid w:val="043A5387"/>
    <w:rsid w:val="04447FB3"/>
    <w:rsid w:val="046046C1"/>
    <w:rsid w:val="04675A50"/>
    <w:rsid w:val="046B3792"/>
    <w:rsid w:val="046E6115"/>
    <w:rsid w:val="04784101"/>
    <w:rsid w:val="047A00BD"/>
    <w:rsid w:val="04807D93"/>
    <w:rsid w:val="048C54B6"/>
    <w:rsid w:val="04932CE9"/>
    <w:rsid w:val="04AC7907"/>
    <w:rsid w:val="04AD3DAA"/>
    <w:rsid w:val="04B54A0D"/>
    <w:rsid w:val="04B70785"/>
    <w:rsid w:val="04C609C8"/>
    <w:rsid w:val="04C904B8"/>
    <w:rsid w:val="04D37589"/>
    <w:rsid w:val="04E2092D"/>
    <w:rsid w:val="04E92909"/>
    <w:rsid w:val="04F47800"/>
    <w:rsid w:val="04FD0162"/>
    <w:rsid w:val="05047E97"/>
    <w:rsid w:val="0506170D"/>
    <w:rsid w:val="05080FE1"/>
    <w:rsid w:val="052D4EEB"/>
    <w:rsid w:val="052E47BF"/>
    <w:rsid w:val="0532605E"/>
    <w:rsid w:val="05445D91"/>
    <w:rsid w:val="054A1B88"/>
    <w:rsid w:val="055B3806"/>
    <w:rsid w:val="055D6B72"/>
    <w:rsid w:val="057523EE"/>
    <w:rsid w:val="05793C8D"/>
    <w:rsid w:val="058663AA"/>
    <w:rsid w:val="05917228"/>
    <w:rsid w:val="05940AC6"/>
    <w:rsid w:val="05997E8B"/>
    <w:rsid w:val="05A625A8"/>
    <w:rsid w:val="05AD3936"/>
    <w:rsid w:val="05BB1D5A"/>
    <w:rsid w:val="05C313AC"/>
    <w:rsid w:val="05C37B22"/>
    <w:rsid w:val="05D35A2B"/>
    <w:rsid w:val="05E01F5E"/>
    <w:rsid w:val="05F81055"/>
    <w:rsid w:val="060A6FDB"/>
    <w:rsid w:val="06110369"/>
    <w:rsid w:val="061B11E8"/>
    <w:rsid w:val="063302DF"/>
    <w:rsid w:val="0639341C"/>
    <w:rsid w:val="063D2F0C"/>
    <w:rsid w:val="06426774"/>
    <w:rsid w:val="065D535C"/>
    <w:rsid w:val="0660207E"/>
    <w:rsid w:val="066B1726"/>
    <w:rsid w:val="066C1A43"/>
    <w:rsid w:val="06954AF6"/>
    <w:rsid w:val="069A0522"/>
    <w:rsid w:val="069C40D7"/>
    <w:rsid w:val="06BB0FE9"/>
    <w:rsid w:val="06C74ECC"/>
    <w:rsid w:val="06D3561E"/>
    <w:rsid w:val="06DC2725"/>
    <w:rsid w:val="06E415DA"/>
    <w:rsid w:val="06F25C1E"/>
    <w:rsid w:val="0712371A"/>
    <w:rsid w:val="0721638A"/>
    <w:rsid w:val="072440CC"/>
    <w:rsid w:val="072639A0"/>
    <w:rsid w:val="072F4F4B"/>
    <w:rsid w:val="07414C7E"/>
    <w:rsid w:val="07434552"/>
    <w:rsid w:val="075C3866"/>
    <w:rsid w:val="07634BF4"/>
    <w:rsid w:val="0777244E"/>
    <w:rsid w:val="07832BA1"/>
    <w:rsid w:val="07941252"/>
    <w:rsid w:val="07A64AE1"/>
    <w:rsid w:val="07AF7E3A"/>
    <w:rsid w:val="07B0770E"/>
    <w:rsid w:val="07B94814"/>
    <w:rsid w:val="07BC60B3"/>
    <w:rsid w:val="07CF4038"/>
    <w:rsid w:val="07ED44BE"/>
    <w:rsid w:val="07F65A68"/>
    <w:rsid w:val="07FB1988"/>
    <w:rsid w:val="07FD6DF7"/>
    <w:rsid w:val="07FE491D"/>
    <w:rsid w:val="0822060B"/>
    <w:rsid w:val="08393BA7"/>
    <w:rsid w:val="08493DEA"/>
    <w:rsid w:val="084E7652"/>
    <w:rsid w:val="085D5AE7"/>
    <w:rsid w:val="08601134"/>
    <w:rsid w:val="086E3851"/>
    <w:rsid w:val="087A4EC7"/>
    <w:rsid w:val="087C3485"/>
    <w:rsid w:val="087D5842"/>
    <w:rsid w:val="0885402C"/>
    <w:rsid w:val="08A94889"/>
    <w:rsid w:val="08B9674C"/>
    <w:rsid w:val="08BE235F"/>
    <w:rsid w:val="08D833C0"/>
    <w:rsid w:val="08DB07BA"/>
    <w:rsid w:val="08ED6E6B"/>
    <w:rsid w:val="08FF094D"/>
    <w:rsid w:val="09047D11"/>
    <w:rsid w:val="09077801"/>
    <w:rsid w:val="090E6DE2"/>
    <w:rsid w:val="091343F8"/>
    <w:rsid w:val="091F2D9D"/>
    <w:rsid w:val="093305F6"/>
    <w:rsid w:val="093F343F"/>
    <w:rsid w:val="094822F4"/>
    <w:rsid w:val="09526CCE"/>
    <w:rsid w:val="0958005D"/>
    <w:rsid w:val="099E0166"/>
    <w:rsid w:val="09B01C47"/>
    <w:rsid w:val="09D43B87"/>
    <w:rsid w:val="09D52784"/>
    <w:rsid w:val="09E0077E"/>
    <w:rsid w:val="09E162A4"/>
    <w:rsid w:val="09EB0ED1"/>
    <w:rsid w:val="0A002A88"/>
    <w:rsid w:val="0A281AF9"/>
    <w:rsid w:val="0A344626"/>
    <w:rsid w:val="0A375EC4"/>
    <w:rsid w:val="0A474359"/>
    <w:rsid w:val="0A656ED5"/>
    <w:rsid w:val="0A6727C2"/>
    <w:rsid w:val="0A6C2012"/>
    <w:rsid w:val="0A7315F2"/>
    <w:rsid w:val="0A764C3F"/>
    <w:rsid w:val="0A985A9E"/>
    <w:rsid w:val="0A9A1650"/>
    <w:rsid w:val="0AA01CBB"/>
    <w:rsid w:val="0AA7304A"/>
    <w:rsid w:val="0AB47515"/>
    <w:rsid w:val="0AC0397F"/>
    <w:rsid w:val="0ACB616E"/>
    <w:rsid w:val="0ADD6A6C"/>
    <w:rsid w:val="0AE222D4"/>
    <w:rsid w:val="0AF049F1"/>
    <w:rsid w:val="0B0A6B45"/>
    <w:rsid w:val="0B185CF6"/>
    <w:rsid w:val="0B211D85"/>
    <w:rsid w:val="0B246449"/>
    <w:rsid w:val="0B2C17A1"/>
    <w:rsid w:val="0B41349E"/>
    <w:rsid w:val="0B446AEB"/>
    <w:rsid w:val="0B4A6DA5"/>
    <w:rsid w:val="0B5A0E99"/>
    <w:rsid w:val="0B6131F9"/>
    <w:rsid w:val="0B8213C1"/>
    <w:rsid w:val="0B8E7D66"/>
    <w:rsid w:val="0B901D30"/>
    <w:rsid w:val="0B903ADE"/>
    <w:rsid w:val="0B955598"/>
    <w:rsid w:val="0BAB6B6A"/>
    <w:rsid w:val="0BC1638D"/>
    <w:rsid w:val="0BC35C62"/>
    <w:rsid w:val="0BD31C1D"/>
    <w:rsid w:val="0BD80EA7"/>
    <w:rsid w:val="0BD95485"/>
    <w:rsid w:val="0BE67BA2"/>
    <w:rsid w:val="0BEC5BDC"/>
    <w:rsid w:val="0C065C1B"/>
    <w:rsid w:val="0C0A3890"/>
    <w:rsid w:val="0C197F77"/>
    <w:rsid w:val="0C1C0B92"/>
    <w:rsid w:val="0C2661F0"/>
    <w:rsid w:val="0C281F69"/>
    <w:rsid w:val="0C28640C"/>
    <w:rsid w:val="0C34090D"/>
    <w:rsid w:val="0C394176"/>
    <w:rsid w:val="0C5257B6"/>
    <w:rsid w:val="0C590374"/>
    <w:rsid w:val="0C5C7E64"/>
    <w:rsid w:val="0C5E3BDC"/>
    <w:rsid w:val="0C67530F"/>
    <w:rsid w:val="0C7156BE"/>
    <w:rsid w:val="0C767178"/>
    <w:rsid w:val="0C8A2C23"/>
    <w:rsid w:val="0C8A677F"/>
    <w:rsid w:val="0C931AD8"/>
    <w:rsid w:val="0C963376"/>
    <w:rsid w:val="0C9B6BDE"/>
    <w:rsid w:val="0C9C64B3"/>
    <w:rsid w:val="0CA830A9"/>
    <w:rsid w:val="0CAF268A"/>
    <w:rsid w:val="0CB90E13"/>
    <w:rsid w:val="0CC223BD"/>
    <w:rsid w:val="0CCC6D98"/>
    <w:rsid w:val="0CD8573D"/>
    <w:rsid w:val="0CE2480D"/>
    <w:rsid w:val="0CE95B9C"/>
    <w:rsid w:val="0CFF716D"/>
    <w:rsid w:val="0D1C2D59"/>
    <w:rsid w:val="0D244E26"/>
    <w:rsid w:val="0D336E17"/>
    <w:rsid w:val="0D352B8F"/>
    <w:rsid w:val="0D3B1E7F"/>
    <w:rsid w:val="0D4728C2"/>
    <w:rsid w:val="0D49663A"/>
    <w:rsid w:val="0D576FA9"/>
    <w:rsid w:val="0D5C45C0"/>
    <w:rsid w:val="0D6C2329"/>
    <w:rsid w:val="0D782A7C"/>
    <w:rsid w:val="0D7A67F4"/>
    <w:rsid w:val="0D80380B"/>
    <w:rsid w:val="0D9A0C44"/>
    <w:rsid w:val="0DA63A8D"/>
    <w:rsid w:val="0DB937C0"/>
    <w:rsid w:val="0DBA7538"/>
    <w:rsid w:val="0DC43F13"/>
    <w:rsid w:val="0DC6447F"/>
    <w:rsid w:val="0DC83A03"/>
    <w:rsid w:val="0DD00B0A"/>
    <w:rsid w:val="0DF76096"/>
    <w:rsid w:val="0E007AC0"/>
    <w:rsid w:val="0E040DC8"/>
    <w:rsid w:val="0E0E518E"/>
    <w:rsid w:val="0E0F1632"/>
    <w:rsid w:val="0E107158"/>
    <w:rsid w:val="0E1327A4"/>
    <w:rsid w:val="0E15651D"/>
    <w:rsid w:val="0E1B0E2B"/>
    <w:rsid w:val="0E2055ED"/>
    <w:rsid w:val="0E235D88"/>
    <w:rsid w:val="0E26697C"/>
    <w:rsid w:val="0E2F4A8A"/>
    <w:rsid w:val="0E3B2427"/>
    <w:rsid w:val="0E3C75E8"/>
    <w:rsid w:val="0E43752E"/>
    <w:rsid w:val="0E4709CC"/>
    <w:rsid w:val="0E6C0832"/>
    <w:rsid w:val="0E71409B"/>
    <w:rsid w:val="0E7C659C"/>
    <w:rsid w:val="0E8536A2"/>
    <w:rsid w:val="0E925DBF"/>
    <w:rsid w:val="0EAC068F"/>
    <w:rsid w:val="0EC87A33"/>
    <w:rsid w:val="0ED308B1"/>
    <w:rsid w:val="0ED90453"/>
    <w:rsid w:val="0EF95E3E"/>
    <w:rsid w:val="0EFA6DAC"/>
    <w:rsid w:val="0F052A35"/>
    <w:rsid w:val="0F317386"/>
    <w:rsid w:val="0F4C41C0"/>
    <w:rsid w:val="0F5B4403"/>
    <w:rsid w:val="0F607C6B"/>
    <w:rsid w:val="0F804F9C"/>
    <w:rsid w:val="0F911464"/>
    <w:rsid w:val="0F9718DF"/>
    <w:rsid w:val="0FA21708"/>
    <w:rsid w:val="0FAB538A"/>
    <w:rsid w:val="0FAE09D7"/>
    <w:rsid w:val="0FB26719"/>
    <w:rsid w:val="0FBD67DF"/>
    <w:rsid w:val="0FC401FA"/>
    <w:rsid w:val="0FC621C4"/>
    <w:rsid w:val="0FCB024D"/>
    <w:rsid w:val="0FEB39D9"/>
    <w:rsid w:val="0FF8096D"/>
    <w:rsid w:val="1001144E"/>
    <w:rsid w:val="100625C1"/>
    <w:rsid w:val="10190546"/>
    <w:rsid w:val="10280789"/>
    <w:rsid w:val="10307FDC"/>
    <w:rsid w:val="104D4694"/>
    <w:rsid w:val="1053332C"/>
    <w:rsid w:val="1056151F"/>
    <w:rsid w:val="1065378B"/>
    <w:rsid w:val="10725EA8"/>
    <w:rsid w:val="107A6B0B"/>
    <w:rsid w:val="10861954"/>
    <w:rsid w:val="108D2CE2"/>
    <w:rsid w:val="109C2F25"/>
    <w:rsid w:val="10AC13BA"/>
    <w:rsid w:val="10C34956"/>
    <w:rsid w:val="10C5422A"/>
    <w:rsid w:val="10D4004E"/>
    <w:rsid w:val="10D66437"/>
    <w:rsid w:val="10D95F27"/>
    <w:rsid w:val="10DB57FB"/>
    <w:rsid w:val="10E8616A"/>
    <w:rsid w:val="11146F5F"/>
    <w:rsid w:val="111B209C"/>
    <w:rsid w:val="111E393A"/>
    <w:rsid w:val="11252F1A"/>
    <w:rsid w:val="114E2716"/>
    <w:rsid w:val="115455AE"/>
    <w:rsid w:val="115A0E16"/>
    <w:rsid w:val="115F642C"/>
    <w:rsid w:val="11706C95"/>
    <w:rsid w:val="11845E93"/>
    <w:rsid w:val="11877731"/>
    <w:rsid w:val="119E2F7F"/>
    <w:rsid w:val="11B12A00"/>
    <w:rsid w:val="11B31DBB"/>
    <w:rsid w:val="11B36778"/>
    <w:rsid w:val="11E22BBA"/>
    <w:rsid w:val="11EB5F12"/>
    <w:rsid w:val="11F052D6"/>
    <w:rsid w:val="11F36B75"/>
    <w:rsid w:val="121216F1"/>
    <w:rsid w:val="12154D3D"/>
    <w:rsid w:val="121D1E44"/>
    <w:rsid w:val="122136E2"/>
    <w:rsid w:val="122321B6"/>
    <w:rsid w:val="12282CC2"/>
    <w:rsid w:val="12485112"/>
    <w:rsid w:val="126706BB"/>
    <w:rsid w:val="127759F8"/>
    <w:rsid w:val="12AD1419"/>
    <w:rsid w:val="12B427A8"/>
    <w:rsid w:val="12B75DF4"/>
    <w:rsid w:val="12BD7930"/>
    <w:rsid w:val="12C34799"/>
    <w:rsid w:val="12DB7D35"/>
    <w:rsid w:val="12DC585B"/>
    <w:rsid w:val="12E82452"/>
    <w:rsid w:val="12FE7EC7"/>
    <w:rsid w:val="130F3E82"/>
    <w:rsid w:val="13117BFA"/>
    <w:rsid w:val="13144FF5"/>
    <w:rsid w:val="13196AAF"/>
    <w:rsid w:val="132C67E2"/>
    <w:rsid w:val="13325FA2"/>
    <w:rsid w:val="13424502"/>
    <w:rsid w:val="13473756"/>
    <w:rsid w:val="134A310C"/>
    <w:rsid w:val="134F24D1"/>
    <w:rsid w:val="13545D39"/>
    <w:rsid w:val="137F010F"/>
    <w:rsid w:val="1380268A"/>
    <w:rsid w:val="13A10F7E"/>
    <w:rsid w:val="13A4281C"/>
    <w:rsid w:val="13A520F1"/>
    <w:rsid w:val="13B14F39"/>
    <w:rsid w:val="13B52335"/>
    <w:rsid w:val="13BB1914"/>
    <w:rsid w:val="13BC62A4"/>
    <w:rsid w:val="13CF716E"/>
    <w:rsid w:val="13D529D6"/>
    <w:rsid w:val="13E1581F"/>
    <w:rsid w:val="13F310AE"/>
    <w:rsid w:val="13FD3CDB"/>
    <w:rsid w:val="14005579"/>
    <w:rsid w:val="141554C8"/>
    <w:rsid w:val="14180B15"/>
    <w:rsid w:val="141D25CF"/>
    <w:rsid w:val="1424395D"/>
    <w:rsid w:val="142B6A9A"/>
    <w:rsid w:val="142E20E6"/>
    <w:rsid w:val="143521E9"/>
    <w:rsid w:val="143C0CA7"/>
    <w:rsid w:val="144813FA"/>
    <w:rsid w:val="144B713C"/>
    <w:rsid w:val="14531B4D"/>
    <w:rsid w:val="145E6E6F"/>
    <w:rsid w:val="14697249"/>
    <w:rsid w:val="14740441"/>
    <w:rsid w:val="14794B2F"/>
    <w:rsid w:val="147A532B"/>
    <w:rsid w:val="148368D6"/>
    <w:rsid w:val="148D32B1"/>
    <w:rsid w:val="149664C3"/>
    <w:rsid w:val="14A02EFF"/>
    <w:rsid w:val="14AE592C"/>
    <w:rsid w:val="14B46A8F"/>
    <w:rsid w:val="14BC76F2"/>
    <w:rsid w:val="14D902A4"/>
    <w:rsid w:val="14DA14BE"/>
    <w:rsid w:val="14E54E9B"/>
    <w:rsid w:val="14E82F59"/>
    <w:rsid w:val="14EB6229"/>
    <w:rsid w:val="14EF1875"/>
    <w:rsid w:val="15051099"/>
    <w:rsid w:val="150F1F18"/>
    <w:rsid w:val="15145780"/>
    <w:rsid w:val="1529795F"/>
    <w:rsid w:val="15325C06"/>
    <w:rsid w:val="15437DF0"/>
    <w:rsid w:val="155344FA"/>
    <w:rsid w:val="15565D98"/>
    <w:rsid w:val="155913E5"/>
    <w:rsid w:val="155C7558"/>
    <w:rsid w:val="15612C23"/>
    <w:rsid w:val="15791A87"/>
    <w:rsid w:val="157F52EF"/>
    <w:rsid w:val="15910B7E"/>
    <w:rsid w:val="159643E7"/>
    <w:rsid w:val="159863B1"/>
    <w:rsid w:val="159B19FD"/>
    <w:rsid w:val="15A24B3A"/>
    <w:rsid w:val="15AA1C40"/>
    <w:rsid w:val="15AD1E63"/>
    <w:rsid w:val="15AD5603"/>
    <w:rsid w:val="15B036FB"/>
    <w:rsid w:val="15B8610B"/>
    <w:rsid w:val="15B900D5"/>
    <w:rsid w:val="15BB5BFB"/>
    <w:rsid w:val="15BC4236"/>
    <w:rsid w:val="15C34AB0"/>
    <w:rsid w:val="15C54CCC"/>
    <w:rsid w:val="15DE2644"/>
    <w:rsid w:val="15DF5D8E"/>
    <w:rsid w:val="15E50ECA"/>
    <w:rsid w:val="15E72E94"/>
    <w:rsid w:val="15F1786F"/>
    <w:rsid w:val="15F848DE"/>
    <w:rsid w:val="15FC6940"/>
    <w:rsid w:val="16092E0B"/>
    <w:rsid w:val="16175528"/>
    <w:rsid w:val="163D0D06"/>
    <w:rsid w:val="164C3EAE"/>
    <w:rsid w:val="164E4CC1"/>
    <w:rsid w:val="16564E13"/>
    <w:rsid w:val="165A62FD"/>
    <w:rsid w:val="1666025D"/>
    <w:rsid w:val="166D15EC"/>
    <w:rsid w:val="16766853"/>
    <w:rsid w:val="169326D4"/>
    <w:rsid w:val="169976B8"/>
    <w:rsid w:val="16A14DF1"/>
    <w:rsid w:val="16AD3796"/>
    <w:rsid w:val="16B72CBA"/>
    <w:rsid w:val="16C531D6"/>
    <w:rsid w:val="16C64858"/>
    <w:rsid w:val="16DA6555"/>
    <w:rsid w:val="16DC407B"/>
    <w:rsid w:val="16DC7AB8"/>
    <w:rsid w:val="16E86EC4"/>
    <w:rsid w:val="16E95563"/>
    <w:rsid w:val="16EA2C3C"/>
    <w:rsid w:val="16F07B27"/>
    <w:rsid w:val="16F2564D"/>
    <w:rsid w:val="16FE0496"/>
    <w:rsid w:val="16FF43F8"/>
    <w:rsid w:val="17051824"/>
    <w:rsid w:val="17056C3B"/>
    <w:rsid w:val="17101F77"/>
    <w:rsid w:val="171C091C"/>
    <w:rsid w:val="17291241"/>
    <w:rsid w:val="1735378C"/>
    <w:rsid w:val="173B6FF4"/>
    <w:rsid w:val="174B2FAF"/>
    <w:rsid w:val="17516817"/>
    <w:rsid w:val="17550B15"/>
    <w:rsid w:val="175D340E"/>
    <w:rsid w:val="17620A24"/>
    <w:rsid w:val="17681DB3"/>
    <w:rsid w:val="177249E0"/>
    <w:rsid w:val="17740758"/>
    <w:rsid w:val="177C13BA"/>
    <w:rsid w:val="177D585E"/>
    <w:rsid w:val="17822E75"/>
    <w:rsid w:val="17845DA0"/>
    <w:rsid w:val="178A3AD7"/>
    <w:rsid w:val="178D35C8"/>
    <w:rsid w:val="17957C6D"/>
    <w:rsid w:val="179E57D5"/>
    <w:rsid w:val="17A032FB"/>
    <w:rsid w:val="17AE3C6A"/>
    <w:rsid w:val="17C27715"/>
    <w:rsid w:val="17CA0378"/>
    <w:rsid w:val="17D11706"/>
    <w:rsid w:val="17D64F6F"/>
    <w:rsid w:val="17E05DED"/>
    <w:rsid w:val="17E53404"/>
    <w:rsid w:val="17F3401D"/>
    <w:rsid w:val="180970F2"/>
    <w:rsid w:val="180B10BC"/>
    <w:rsid w:val="1816180F"/>
    <w:rsid w:val="181A12FF"/>
    <w:rsid w:val="181A5423"/>
    <w:rsid w:val="181E486E"/>
    <w:rsid w:val="181F06C4"/>
    <w:rsid w:val="182757CA"/>
    <w:rsid w:val="18286733"/>
    <w:rsid w:val="18450C4A"/>
    <w:rsid w:val="185C1918"/>
    <w:rsid w:val="185D2F9A"/>
    <w:rsid w:val="187327BD"/>
    <w:rsid w:val="188264AD"/>
    <w:rsid w:val="18880AFE"/>
    <w:rsid w:val="189D5A8C"/>
    <w:rsid w:val="18A46E1B"/>
    <w:rsid w:val="18B2778A"/>
    <w:rsid w:val="18BA663E"/>
    <w:rsid w:val="18C82B09"/>
    <w:rsid w:val="18DA0A8E"/>
    <w:rsid w:val="18DF60A5"/>
    <w:rsid w:val="18E35B95"/>
    <w:rsid w:val="18ED2570"/>
    <w:rsid w:val="18ED79A8"/>
    <w:rsid w:val="18FF22A3"/>
    <w:rsid w:val="1901601B"/>
    <w:rsid w:val="19265A82"/>
    <w:rsid w:val="19297320"/>
    <w:rsid w:val="193C6F41"/>
    <w:rsid w:val="19650240"/>
    <w:rsid w:val="196640D0"/>
    <w:rsid w:val="19706CFD"/>
    <w:rsid w:val="197F0881"/>
    <w:rsid w:val="19800555"/>
    <w:rsid w:val="198C3299"/>
    <w:rsid w:val="19924EC5"/>
    <w:rsid w:val="199649B5"/>
    <w:rsid w:val="199C5D44"/>
    <w:rsid w:val="19A43C71"/>
    <w:rsid w:val="19A76BC3"/>
    <w:rsid w:val="19A8293B"/>
    <w:rsid w:val="19B65058"/>
    <w:rsid w:val="19C01A32"/>
    <w:rsid w:val="19CA465F"/>
    <w:rsid w:val="19D83220"/>
    <w:rsid w:val="19E27BFB"/>
    <w:rsid w:val="19EF056A"/>
    <w:rsid w:val="1A073B05"/>
    <w:rsid w:val="1A187AC0"/>
    <w:rsid w:val="1A246465"/>
    <w:rsid w:val="1A271AB1"/>
    <w:rsid w:val="1A277D03"/>
    <w:rsid w:val="1A3A17E5"/>
    <w:rsid w:val="1A3F6DFB"/>
    <w:rsid w:val="1A473F02"/>
    <w:rsid w:val="1A7016AA"/>
    <w:rsid w:val="1A8B0292"/>
    <w:rsid w:val="1A8B64E4"/>
    <w:rsid w:val="1A9D7FC6"/>
    <w:rsid w:val="1AA44EB0"/>
    <w:rsid w:val="1AAE5D2F"/>
    <w:rsid w:val="1AB53561"/>
    <w:rsid w:val="1AF75928"/>
    <w:rsid w:val="1AFC1190"/>
    <w:rsid w:val="1B0342CC"/>
    <w:rsid w:val="1B043BA1"/>
    <w:rsid w:val="1B0D6EF9"/>
    <w:rsid w:val="1B1C538E"/>
    <w:rsid w:val="1B2F50C2"/>
    <w:rsid w:val="1B391A9C"/>
    <w:rsid w:val="1B41484B"/>
    <w:rsid w:val="1B414DF5"/>
    <w:rsid w:val="1B505038"/>
    <w:rsid w:val="1B5468D6"/>
    <w:rsid w:val="1B642891"/>
    <w:rsid w:val="1B650AE3"/>
    <w:rsid w:val="1B740D26"/>
    <w:rsid w:val="1B7F1479"/>
    <w:rsid w:val="1B800BFB"/>
    <w:rsid w:val="1BA3160C"/>
    <w:rsid w:val="1BB43819"/>
    <w:rsid w:val="1BBA672F"/>
    <w:rsid w:val="1BBE4697"/>
    <w:rsid w:val="1BC31CAE"/>
    <w:rsid w:val="1BCC2910"/>
    <w:rsid w:val="1BCC6E2C"/>
    <w:rsid w:val="1BCF0653"/>
    <w:rsid w:val="1BD76124"/>
    <w:rsid w:val="1BEC2FB3"/>
    <w:rsid w:val="1BEF2AA3"/>
    <w:rsid w:val="1BEF2D2A"/>
    <w:rsid w:val="1BFB4FA4"/>
    <w:rsid w:val="1C143BB2"/>
    <w:rsid w:val="1C297D63"/>
    <w:rsid w:val="1C2F2E9F"/>
    <w:rsid w:val="1C33473D"/>
    <w:rsid w:val="1C422BD3"/>
    <w:rsid w:val="1C4F52EF"/>
    <w:rsid w:val="1C5470A1"/>
    <w:rsid w:val="1C735482"/>
    <w:rsid w:val="1C7B60E4"/>
    <w:rsid w:val="1C8C20A0"/>
    <w:rsid w:val="1CA4388D"/>
    <w:rsid w:val="1CA4563B"/>
    <w:rsid w:val="1CA73D1A"/>
    <w:rsid w:val="1CA87CF9"/>
    <w:rsid w:val="1CB3587E"/>
    <w:rsid w:val="1CBF4223"/>
    <w:rsid w:val="1CC009D1"/>
    <w:rsid w:val="1CD201BF"/>
    <w:rsid w:val="1CDD0B4D"/>
    <w:rsid w:val="1CF814E3"/>
    <w:rsid w:val="1D061E52"/>
    <w:rsid w:val="1D0936F0"/>
    <w:rsid w:val="1D167BBB"/>
    <w:rsid w:val="1D1C3424"/>
    <w:rsid w:val="1D2D28AB"/>
    <w:rsid w:val="1D41732E"/>
    <w:rsid w:val="1D4D5CD3"/>
    <w:rsid w:val="1D5907B5"/>
    <w:rsid w:val="1D682B0D"/>
    <w:rsid w:val="1D6B6159"/>
    <w:rsid w:val="1D6D1ED1"/>
    <w:rsid w:val="1D7C3EC2"/>
    <w:rsid w:val="1D94745E"/>
    <w:rsid w:val="1D994A74"/>
    <w:rsid w:val="1D9D020E"/>
    <w:rsid w:val="1DA90A2F"/>
    <w:rsid w:val="1DAA6C81"/>
    <w:rsid w:val="1DAF24EA"/>
    <w:rsid w:val="1DB351D8"/>
    <w:rsid w:val="1DB5000E"/>
    <w:rsid w:val="1DBE44DB"/>
    <w:rsid w:val="1DC85359"/>
    <w:rsid w:val="1DD71A40"/>
    <w:rsid w:val="1DD91315"/>
    <w:rsid w:val="1DE06B47"/>
    <w:rsid w:val="1DE877AA"/>
    <w:rsid w:val="1DFB572F"/>
    <w:rsid w:val="1E171E3D"/>
    <w:rsid w:val="1E1E141D"/>
    <w:rsid w:val="1E1E766F"/>
    <w:rsid w:val="1E3A42CC"/>
    <w:rsid w:val="1E4662B3"/>
    <w:rsid w:val="1E4D585F"/>
    <w:rsid w:val="1E543091"/>
    <w:rsid w:val="1E5933F2"/>
    <w:rsid w:val="1E5B61CE"/>
    <w:rsid w:val="1E5B7F7C"/>
    <w:rsid w:val="1E5C3EC6"/>
    <w:rsid w:val="1E6A4663"/>
    <w:rsid w:val="1E796654"/>
    <w:rsid w:val="1EB1403F"/>
    <w:rsid w:val="1EC45B21"/>
    <w:rsid w:val="1ECB5101"/>
    <w:rsid w:val="1ECE074D"/>
    <w:rsid w:val="1ECE2E43"/>
    <w:rsid w:val="1ED7223D"/>
    <w:rsid w:val="1EDD08F0"/>
    <w:rsid w:val="1EDF295B"/>
    <w:rsid w:val="1EF46CC4"/>
    <w:rsid w:val="1F1F369F"/>
    <w:rsid w:val="1F2629A0"/>
    <w:rsid w:val="1F2B3339"/>
    <w:rsid w:val="1F2B3DF2"/>
    <w:rsid w:val="1F3802BD"/>
    <w:rsid w:val="1F5A6485"/>
    <w:rsid w:val="1F751511"/>
    <w:rsid w:val="1F7F5EEC"/>
    <w:rsid w:val="1F813A12"/>
    <w:rsid w:val="1F8359DC"/>
    <w:rsid w:val="1F887198"/>
    <w:rsid w:val="1F933745"/>
    <w:rsid w:val="1F974FE3"/>
    <w:rsid w:val="1F9A0F77"/>
    <w:rsid w:val="1F9C084C"/>
    <w:rsid w:val="1FA92F69"/>
    <w:rsid w:val="1FAA11BB"/>
    <w:rsid w:val="1FB738D7"/>
    <w:rsid w:val="1FBA3E17"/>
    <w:rsid w:val="1FBB15B6"/>
    <w:rsid w:val="1FBE07C2"/>
    <w:rsid w:val="1FC75FE8"/>
    <w:rsid w:val="1FCF0C21"/>
    <w:rsid w:val="1FD04999"/>
    <w:rsid w:val="1FED554B"/>
    <w:rsid w:val="200603BB"/>
    <w:rsid w:val="200F7270"/>
    <w:rsid w:val="202D5948"/>
    <w:rsid w:val="203A77B8"/>
    <w:rsid w:val="204D1B46"/>
    <w:rsid w:val="20531CEF"/>
    <w:rsid w:val="20635192"/>
    <w:rsid w:val="206C6470"/>
    <w:rsid w:val="20717F2A"/>
    <w:rsid w:val="207B2B57"/>
    <w:rsid w:val="208D63E6"/>
    <w:rsid w:val="20A64893"/>
    <w:rsid w:val="20B3409F"/>
    <w:rsid w:val="20C41134"/>
    <w:rsid w:val="20C75D9C"/>
    <w:rsid w:val="20C91B14"/>
    <w:rsid w:val="20CA763A"/>
    <w:rsid w:val="20D14525"/>
    <w:rsid w:val="20E029BA"/>
    <w:rsid w:val="20F16975"/>
    <w:rsid w:val="20F473E1"/>
    <w:rsid w:val="20FA1CCE"/>
    <w:rsid w:val="211E1C28"/>
    <w:rsid w:val="21253A7D"/>
    <w:rsid w:val="212C3E51"/>
    <w:rsid w:val="213A031C"/>
    <w:rsid w:val="21442F49"/>
    <w:rsid w:val="214D44F3"/>
    <w:rsid w:val="215238B8"/>
    <w:rsid w:val="216361B0"/>
    <w:rsid w:val="216655B5"/>
    <w:rsid w:val="216B6728"/>
    <w:rsid w:val="216E6218"/>
    <w:rsid w:val="21A34113"/>
    <w:rsid w:val="21AB2FC8"/>
    <w:rsid w:val="21AB746C"/>
    <w:rsid w:val="21B31E7D"/>
    <w:rsid w:val="21B55BF5"/>
    <w:rsid w:val="21CB18BC"/>
    <w:rsid w:val="21D20555"/>
    <w:rsid w:val="21DF2C72"/>
    <w:rsid w:val="21F11323"/>
    <w:rsid w:val="220426D8"/>
    <w:rsid w:val="220A5F40"/>
    <w:rsid w:val="220D3D0E"/>
    <w:rsid w:val="221235D9"/>
    <w:rsid w:val="22192627"/>
    <w:rsid w:val="221B014E"/>
    <w:rsid w:val="221C2118"/>
    <w:rsid w:val="22325497"/>
    <w:rsid w:val="22370D00"/>
    <w:rsid w:val="223B07F0"/>
    <w:rsid w:val="22460F43"/>
    <w:rsid w:val="224D22D1"/>
    <w:rsid w:val="22511DC1"/>
    <w:rsid w:val="225C2514"/>
    <w:rsid w:val="22681AF0"/>
    <w:rsid w:val="2277734E"/>
    <w:rsid w:val="227B299A"/>
    <w:rsid w:val="227C4BFC"/>
    <w:rsid w:val="227C6712"/>
    <w:rsid w:val="227E248B"/>
    <w:rsid w:val="22853EE9"/>
    <w:rsid w:val="228E4DC3"/>
    <w:rsid w:val="22935A45"/>
    <w:rsid w:val="229B303C"/>
    <w:rsid w:val="229E2B2D"/>
    <w:rsid w:val="22A41D1F"/>
    <w:rsid w:val="22A5210D"/>
    <w:rsid w:val="22AA3280"/>
    <w:rsid w:val="22AB0C42"/>
    <w:rsid w:val="22B61C24"/>
    <w:rsid w:val="22B83F02"/>
    <w:rsid w:val="22C00CF5"/>
    <w:rsid w:val="22C24A6D"/>
    <w:rsid w:val="22C34341"/>
    <w:rsid w:val="22C81958"/>
    <w:rsid w:val="22CD5368"/>
    <w:rsid w:val="22CE51C0"/>
    <w:rsid w:val="22DB168B"/>
    <w:rsid w:val="22EE7610"/>
    <w:rsid w:val="22F60E41"/>
    <w:rsid w:val="22F62969"/>
    <w:rsid w:val="22F82731"/>
    <w:rsid w:val="230230BC"/>
    <w:rsid w:val="232A6D75"/>
    <w:rsid w:val="233D5EA2"/>
    <w:rsid w:val="235651B5"/>
    <w:rsid w:val="235D02F2"/>
    <w:rsid w:val="23614286"/>
    <w:rsid w:val="23694EE9"/>
    <w:rsid w:val="23767606"/>
    <w:rsid w:val="23955CDE"/>
    <w:rsid w:val="2398757C"/>
    <w:rsid w:val="23A67EEB"/>
    <w:rsid w:val="23DA1943"/>
    <w:rsid w:val="23E02EAB"/>
    <w:rsid w:val="23EB1DA2"/>
    <w:rsid w:val="24053736"/>
    <w:rsid w:val="2406098A"/>
    <w:rsid w:val="241A7F2D"/>
    <w:rsid w:val="242B6642"/>
    <w:rsid w:val="243046F4"/>
    <w:rsid w:val="243279D1"/>
    <w:rsid w:val="2446347C"/>
    <w:rsid w:val="2452597D"/>
    <w:rsid w:val="246A716A"/>
    <w:rsid w:val="24861ACA"/>
    <w:rsid w:val="2492221D"/>
    <w:rsid w:val="24A81A41"/>
    <w:rsid w:val="24B108F5"/>
    <w:rsid w:val="24B71C84"/>
    <w:rsid w:val="24C83E91"/>
    <w:rsid w:val="24D46CDA"/>
    <w:rsid w:val="24DC4C42"/>
    <w:rsid w:val="24E72569"/>
    <w:rsid w:val="24E94533"/>
    <w:rsid w:val="24EC5DD1"/>
    <w:rsid w:val="24EF141E"/>
    <w:rsid w:val="24F42ED8"/>
    <w:rsid w:val="24F95EE9"/>
    <w:rsid w:val="250D2688"/>
    <w:rsid w:val="250D7AF6"/>
    <w:rsid w:val="2527505B"/>
    <w:rsid w:val="25396B3D"/>
    <w:rsid w:val="25397BDD"/>
    <w:rsid w:val="255A71DF"/>
    <w:rsid w:val="255F2A47"/>
    <w:rsid w:val="25757B75"/>
    <w:rsid w:val="25910727"/>
    <w:rsid w:val="259721E1"/>
    <w:rsid w:val="25973F8F"/>
    <w:rsid w:val="25A246E2"/>
    <w:rsid w:val="25A71CF8"/>
    <w:rsid w:val="25BD32CA"/>
    <w:rsid w:val="25C1100C"/>
    <w:rsid w:val="25C95BD2"/>
    <w:rsid w:val="25DA20CE"/>
    <w:rsid w:val="25DD571A"/>
    <w:rsid w:val="25F807A6"/>
    <w:rsid w:val="26031625"/>
    <w:rsid w:val="2604714B"/>
    <w:rsid w:val="26217CFD"/>
    <w:rsid w:val="263E440B"/>
    <w:rsid w:val="264F085A"/>
    <w:rsid w:val="265A320F"/>
    <w:rsid w:val="26695200"/>
    <w:rsid w:val="266B541C"/>
    <w:rsid w:val="266D4CF0"/>
    <w:rsid w:val="267267AA"/>
    <w:rsid w:val="267C3185"/>
    <w:rsid w:val="26802C75"/>
    <w:rsid w:val="268C4E65"/>
    <w:rsid w:val="269A360B"/>
    <w:rsid w:val="26AC3A6A"/>
    <w:rsid w:val="26B97F35"/>
    <w:rsid w:val="26C10F95"/>
    <w:rsid w:val="26C64818"/>
    <w:rsid w:val="26C863CA"/>
    <w:rsid w:val="26CB5833"/>
    <w:rsid w:val="26D703BB"/>
    <w:rsid w:val="26F471BF"/>
    <w:rsid w:val="27070CA1"/>
    <w:rsid w:val="27076EF2"/>
    <w:rsid w:val="270F7B55"/>
    <w:rsid w:val="271138CD"/>
    <w:rsid w:val="27267580"/>
    <w:rsid w:val="27277595"/>
    <w:rsid w:val="272950BB"/>
    <w:rsid w:val="272D7494"/>
    <w:rsid w:val="273A3C74"/>
    <w:rsid w:val="273B3040"/>
    <w:rsid w:val="273D0B66"/>
    <w:rsid w:val="27435A51"/>
    <w:rsid w:val="27445462"/>
    <w:rsid w:val="27595274"/>
    <w:rsid w:val="27735B86"/>
    <w:rsid w:val="278510AC"/>
    <w:rsid w:val="27870033"/>
    <w:rsid w:val="278D79FF"/>
    <w:rsid w:val="278E3170"/>
    <w:rsid w:val="279462AC"/>
    <w:rsid w:val="27AB3D22"/>
    <w:rsid w:val="27B150B0"/>
    <w:rsid w:val="27B34984"/>
    <w:rsid w:val="27B54BA0"/>
    <w:rsid w:val="27BF3329"/>
    <w:rsid w:val="27CC1AE9"/>
    <w:rsid w:val="27D019DA"/>
    <w:rsid w:val="27D4392F"/>
    <w:rsid w:val="27EB5153"/>
    <w:rsid w:val="27F8683B"/>
    <w:rsid w:val="27F93B3E"/>
    <w:rsid w:val="28060F58"/>
    <w:rsid w:val="280E605F"/>
    <w:rsid w:val="28163820"/>
    <w:rsid w:val="28174CD6"/>
    <w:rsid w:val="28180C8B"/>
    <w:rsid w:val="281E2746"/>
    <w:rsid w:val="28235FAE"/>
    <w:rsid w:val="282615FA"/>
    <w:rsid w:val="282D2989"/>
    <w:rsid w:val="284D302B"/>
    <w:rsid w:val="286E4D4F"/>
    <w:rsid w:val="289B15A8"/>
    <w:rsid w:val="28A10C81"/>
    <w:rsid w:val="28C11127"/>
    <w:rsid w:val="28C66939"/>
    <w:rsid w:val="28D02A86"/>
    <w:rsid w:val="28D940A0"/>
    <w:rsid w:val="28FE4325"/>
    <w:rsid w:val="290A0F1C"/>
    <w:rsid w:val="290A2CCA"/>
    <w:rsid w:val="290C4C94"/>
    <w:rsid w:val="290D3099"/>
    <w:rsid w:val="29210AC9"/>
    <w:rsid w:val="2927387C"/>
    <w:rsid w:val="29274B33"/>
    <w:rsid w:val="292C2C40"/>
    <w:rsid w:val="294206B6"/>
    <w:rsid w:val="294302BA"/>
    <w:rsid w:val="29453D02"/>
    <w:rsid w:val="29514455"/>
    <w:rsid w:val="295B1778"/>
    <w:rsid w:val="297665B1"/>
    <w:rsid w:val="299627B0"/>
    <w:rsid w:val="29996194"/>
    <w:rsid w:val="299D3B3E"/>
    <w:rsid w:val="29AC1FD3"/>
    <w:rsid w:val="29B36EBE"/>
    <w:rsid w:val="29B449E4"/>
    <w:rsid w:val="29D05CC2"/>
    <w:rsid w:val="29D15596"/>
    <w:rsid w:val="29D37560"/>
    <w:rsid w:val="29D532D8"/>
    <w:rsid w:val="29D84B76"/>
    <w:rsid w:val="29E4176D"/>
    <w:rsid w:val="29FD282F"/>
    <w:rsid w:val="2A021BF3"/>
    <w:rsid w:val="2A0B48B8"/>
    <w:rsid w:val="2A5C7555"/>
    <w:rsid w:val="2A663F30"/>
    <w:rsid w:val="2A946CEF"/>
    <w:rsid w:val="2A9967B6"/>
    <w:rsid w:val="2AA902C1"/>
    <w:rsid w:val="2AAC3FCD"/>
    <w:rsid w:val="2AAD1AE8"/>
    <w:rsid w:val="2AAE65C3"/>
    <w:rsid w:val="2AC82E3D"/>
    <w:rsid w:val="2ACB6489"/>
    <w:rsid w:val="2ACC3B7F"/>
    <w:rsid w:val="2AD031EF"/>
    <w:rsid w:val="2AE45217"/>
    <w:rsid w:val="2AE72A57"/>
    <w:rsid w:val="2AF7727E"/>
    <w:rsid w:val="2B053749"/>
    <w:rsid w:val="2B065713"/>
    <w:rsid w:val="2B0A0D5F"/>
    <w:rsid w:val="2B0D0850"/>
    <w:rsid w:val="2B17347C"/>
    <w:rsid w:val="2B2636BF"/>
    <w:rsid w:val="2B381D70"/>
    <w:rsid w:val="2B397896"/>
    <w:rsid w:val="2B5B15BB"/>
    <w:rsid w:val="2B6E5792"/>
    <w:rsid w:val="2B9B40AD"/>
    <w:rsid w:val="2BA271EA"/>
    <w:rsid w:val="2BA33E43"/>
    <w:rsid w:val="2BAF7B59"/>
    <w:rsid w:val="2BB67139"/>
    <w:rsid w:val="2BB711FB"/>
    <w:rsid w:val="2BC03B14"/>
    <w:rsid w:val="2BC5737C"/>
    <w:rsid w:val="2BCC4FAD"/>
    <w:rsid w:val="2BE9306B"/>
    <w:rsid w:val="2BFF63EA"/>
    <w:rsid w:val="2C025EDA"/>
    <w:rsid w:val="2C11611D"/>
    <w:rsid w:val="2C210A56"/>
    <w:rsid w:val="2C2E3173"/>
    <w:rsid w:val="2C324A12"/>
    <w:rsid w:val="2C3B13EC"/>
    <w:rsid w:val="2C484235"/>
    <w:rsid w:val="2C655513"/>
    <w:rsid w:val="2C6E17C2"/>
    <w:rsid w:val="2C711556"/>
    <w:rsid w:val="2C7F752B"/>
    <w:rsid w:val="2C931228"/>
    <w:rsid w:val="2CA927FA"/>
    <w:rsid w:val="2CB20D73"/>
    <w:rsid w:val="2CBA4A07"/>
    <w:rsid w:val="2CBC42DB"/>
    <w:rsid w:val="2CBE2DC2"/>
    <w:rsid w:val="2CCD3B55"/>
    <w:rsid w:val="2CD535EF"/>
    <w:rsid w:val="2CE14D09"/>
    <w:rsid w:val="2CEC5E40"/>
    <w:rsid w:val="2CF63C91"/>
    <w:rsid w:val="2D051852"/>
    <w:rsid w:val="2D053ED4"/>
    <w:rsid w:val="2D0D0FDB"/>
    <w:rsid w:val="2D12039F"/>
    <w:rsid w:val="2D3A16A4"/>
    <w:rsid w:val="2D3E2F42"/>
    <w:rsid w:val="2D744BB6"/>
    <w:rsid w:val="2D7B7CF2"/>
    <w:rsid w:val="2D8444EF"/>
    <w:rsid w:val="2D8A6187"/>
    <w:rsid w:val="2D937732"/>
    <w:rsid w:val="2D9C5EBB"/>
    <w:rsid w:val="2D9E7E85"/>
    <w:rsid w:val="2DA74F8B"/>
    <w:rsid w:val="2DA76D39"/>
    <w:rsid w:val="2DBB27E5"/>
    <w:rsid w:val="2DD43ABF"/>
    <w:rsid w:val="2DD83397"/>
    <w:rsid w:val="2DEA131C"/>
    <w:rsid w:val="2DF126AA"/>
    <w:rsid w:val="2DF61A6F"/>
    <w:rsid w:val="2DF87595"/>
    <w:rsid w:val="2DFF6B75"/>
    <w:rsid w:val="2E0F48DF"/>
    <w:rsid w:val="2E1168A9"/>
    <w:rsid w:val="2E13617D"/>
    <w:rsid w:val="2E1A39AF"/>
    <w:rsid w:val="2E232138"/>
    <w:rsid w:val="2E2959A0"/>
    <w:rsid w:val="2E2E026D"/>
    <w:rsid w:val="2E2E2FB7"/>
    <w:rsid w:val="2E47051C"/>
    <w:rsid w:val="2E4B1DBB"/>
    <w:rsid w:val="2E4C168F"/>
    <w:rsid w:val="2E514D16"/>
    <w:rsid w:val="2E516CA5"/>
    <w:rsid w:val="2E5657D8"/>
    <w:rsid w:val="2E772ED1"/>
    <w:rsid w:val="2E8250B1"/>
    <w:rsid w:val="2E8452CD"/>
    <w:rsid w:val="2E89643F"/>
    <w:rsid w:val="2E8E7EF9"/>
    <w:rsid w:val="2E935510"/>
    <w:rsid w:val="2E936BDC"/>
    <w:rsid w:val="2E9849C4"/>
    <w:rsid w:val="2EA25753"/>
    <w:rsid w:val="2EA72D69"/>
    <w:rsid w:val="2EAA4B45"/>
    <w:rsid w:val="2EC102CF"/>
    <w:rsid w:val="2EC35F88"/>
    <w:rsid w:val="2EE30245"/>
    <w:rsid w:val="2EF35FAE"/>
    <w:rsid w:val="2EF74361"/>
    <w:rsid w:val="2F187E7D"/>
    <w:rsid w:val="2F2F2F77"/>
    <w:rsid w:val="2F300D3D"/>
    <w:rsid w:val="2F454A5C"/>
    <w:rsid w:val="2F61116A"/>
    <w:rsid w:val="2F6A2714"/>
    <w:rsid w:val="2F6A44C2"/>
    <w:rsid w:val="2F6A6270"/>
    <w:rsid w:val="2F7D2448"/>
    <w:rsid w:val="2F805A94"/>
    <w:rsid w:val="2F8A246F"/>
    <w:rsid w:val="2F9B467C"/>
    <w:rsid w:val="2F9C03F4"/>
    <w:rsid w:val="2F9E416C"/>
    <w:rsid w:val="2FB614B6"/>
    <w:rsid w:val="2FC12637"/>
    <w:rsid w:val="2FC242FE"/>
    <w:rsid w:val="2FE778C1"/>
    <w:rsid w:val="30006BD5"/>
    <w:rsid w:val="300D4E4E"/>
    <w:rsid w:val="30235547"/>
    <w:rsid w:val="303D3985"/>
    <w:rsid w:val="303D5733"/>
    <w:rsid w:val="304C3BC8"/>
    <w:rsid w:val="304F5466"/>
    <w:rsid w:val="30562C99"/>
    <w:rsid w:val="3078676B"/>
    <w:rsid w:val="30890978"/>
    <w:rsid w:val="30894E1C"/>
    <w:rsid w:val="308B29B1"/>
    <w:rsid w:val="309F019C"/>
    <w:rsid w:val="30A05AD9"/>
    <w:rsid w:val="30C45E54"/>
    <w:rsid w:val="30C460AC"/>
    <w:rsid w:val="30D541D4"/>
    <w:rsid w:val="30D616E4"/>
    <w:rsid w:val="30E3277E"/>
    <w:rsid w:val="30E56211"/>
    <w:rsid w:val="30E91417"/>
    <w:rsid w:val="30F229C1"/>
    <w:rsid w:val="30F743E4"/>
    <w:rsid w:val="310426F5"/>
    <w:rsid w:val="31085D41"/>
    <w:rsid w:val="310A2F67"/>
    <w:rsid w:val="310B3823"/>
    <w:rsid w:val="31175F84"/>
    <w:rsid w:val="312406A1"/>
    <w:rsid w:val="31271F3F"/>
    <w:rsid w:val="31413001"/>
    <w:rsid w:val="31496359"/>
    <w:rsid w:val="3154485D"/>
    <w:rsid w:val="31723B02"/>
    <w:rsid w:val="317A4765"/>
    <w:rsid w:val="318A2BFA"/>
    <w:rsid w:val="319103A7"/>
    <w:rsid w:val="31A87524"/>
    <w:rsid w:val="31B732C3"/>
    <w:rsid w:val="31C0486E"/>
    <w:rsid w:val="31CB056F"/>
    <w:rsid w:val="31D04385"/>
    <w:rsid w:val="31DE2F46"/>
    <w:rsid w:val="31F14A27"/>
    <w:rsid w:val="31F938DC"/>
    <w:rsid w:val="31FE0EF2"/>
    <w:rsid w:val="320A5AE9"/>
    <w:rsid w:val="321148F2"/>
    <w:rsid w:val="322F554F"/>
    <w:rsid w:val="324A2389"/>
    <w:rsid w:val="32543208"/>
    <w:rsid w:val="32717916"/>
    <w:rsid w:val="32847649"/>
    <w:rsid w:val="3293788C"/>
    <w:rsid w:val="32981347"/>
    <w:rsid w:val="32990C1B"/>
    <w:rsid w:val="32BF4B25"/>
    <w:rsid w:val="32C43EEA"/>
    <w:rsid w:val="32C65EB4"/>
    <w:rsid w:val="32DD144F"/>
    <w:rsid w:val="32EA7C58"/>
    <w:rsid w:val="32EB591A"/>
    <w:rsid w:val="33064502"/>
    <w:rsid w:val="33093FF2"/>
    <w:rsid w:val="331A7FAD"/>
    <w:rsid w:val="33226E62"/>
    <w:rsid w:val="332826CA"/>
    <w:rsid w:val="33386686"/>
    <w:rsid w:val="333C7F24"/>
    <w:rsid w:val="333F7A14"/>
    <w:rsid w:val="334071C2"/>
    <w:rsid w:val="334B0167"/>
    <w:rsid w:val="335214F5"/>
    <w:rsid w:val="335C05C6"/>
    <w:rsid w:val="335F3C12"/>
    <w:rsid w:val="33606EBB"/>
    <w:rsid w:val="33704071"/>
    <w:rsid w:val="33745F20"/>
    <w:rsid w:val="33826BBD"/>
    <w:rsid w:val="338B2C59"/>
    <w:rsid w:val="338F274A"/>
    <w:rsid w:val="33A53D1B"/>
    <w:rsid w:val="33AA1331"/>
    <w:rsid w:val="33D4015C"/>
    <w:rsid w:val="33E74334"/>
    <w:rsid w:val="33F4123A"/>
    <w:rsid w:val="33F94067"/>
    <w:rsid w:val="34050C5E"/>
    <w:rsid w:val="341D5FA7"/>
    <w:rsid w:val="341E1D1F"/>
    <w:rsid w:val="34272982"/>
    <w:rsid w:val="342D3D10"/>
    <w:rsid w:val="34623382"/>
    <w:rsid w:val="346E05B1"/>
    <w:rsid w:val="3474193F"/>
    <w:rsid w:val="34802092"/>
    <w:rsid w:val="34831B82"/>
    <w:rsid w:val="3488155E"/>
    <w:rsid w:val="348E2A01"/>
    <w:rsid w:val="34967B08"/>
    <w:rsid w:val="349A75F8"/>
    <w:rsid w:val="349F4C0E"/>
    <w:rsid w:val="34A22D8F"/>
    <w:rsid w:val="34AC732B"/>
    <w:rsid w:val="34B00BC9"/>
    <w:rsid w:val="34B166F0"/>
    <w:rsid w:val="34B34216"/>
    <w:rsid w:val="34BB131C"/>
    <w:rsid w:val="34D36666"/>
    <w:rsid w:val="34D65F41"/>
    <w:rsid w:val="34DD1293"/>
    <w:rsid w:val="34E63FFE"/>
    <w:rsid w:val="34E645EB"/>
    <w:rsid w:val="34FD7B87"/>
    <w:rsid w:val="34FF745B"/>
    <w:rsid w:val="352549E8"/>
    <w:rsid w:val="352944D8"/>
    <w:rsid w:val="353F1F4D"/>
    <w:rsid w:val="3541716C"/>
    <w:rsid w:val="354237EC"/>
    <w:rsid w:val="35441312"/>
    <w:rsid w:val="35487054"/>
    <w:rsid w:val="354B444E"/>
    <w:rsid w:val="354F46D2"/>
    <w:rsid w:val="355A0B35"/>
    <w:rsid w:val="35661288"/>
    <w:rsid w:val="357063C5"/>
    <w:rsid w:val="35725E7F"/>
    <w:rsid w:val="3575596F"/>
    <w:rsid w:val="357A2F85"/>
    <w:rsid w:val="357C6CFE"/>
    <w:rsid w:val="35831E3A"/>
    <w:rsid w:val="35B52791"/>
    <w:rsid w:val="35BF6C21"/>
    <w:rsid w:val="35C74E92"/>
    <w:rsid w:val="35CB558F"/>
    <w:rsid w:val="35F745D6"/>
    <w:rsid w:val="361B6516"/>
    <w:rsid w:val="362178A5"/>
    <w:rsid w:val="362F1FC2"/>
    <w:rsid w:val="36341386"/>
    <w:rsid w:val="36356EAC"/>
    <w:rsid w:val="363E2205"/>
    <w:rsid w:val="36455341"/>
    <w:rsid w:val="36745C27"/>
    <w:rsid w:val="36987B67"/>
    <w:rsid w:val="36B81FB7"/>
    <w:rsid w:val="36E56B24"/>
    <w:rsid w:val="36E763F9"/>
    <w:rsid w:val="36EC3A0F"/>
    <w:rsid w:val="36FC6348"/>
    <w:rsid w:val="36FD79CA"/>
    <w:rsid w:val="370364ED"/>
    <w:rsid w:val="3709636F"/>
    <w:rsid w:val="370E607B"/>
    <w:rsid w:val="37160A8C"/>
    <w:rsid w:val="372907BF"/>
    <w:rsid w:val="373C4996"/>
    <w:rsid w:val="375810A4"/>
    <w:rsid w:val="377A5B12"/>
    <w:rsid w:val="378400EB"/>
    <w:rsid w:val="3784633D"/>
    <w:rsid w:val="3798698E"/>
    <w:rsid w:val="379A346B"/>
    <w:rsid w:val="37A70167"/>
    <w:rsid w:val="37A83DDA"/>
    <w:rsid w:val="37B3277F"/>
    <w:rsid w:val="37B833F9"/>
    <w:rsid w:val="37C14E9C"/>
    <w:rsid w:val="37CE75B8"/>
    <w:rsid w:val="37E33064"/>
    <w:rsid w:val="37E40B8A"/>
    <w:rsid w:val="37F214F9"/>
    <w:rsid w:val="37F4701F"/>
    <w:rsid w:val="37FA215C"/>
    <w:rsid w:val="380354B4"/>
    <w:rsid w:val="38303DCF"/>
    <w:rsid w:val="38327B47"/>
    <w:rsid w:val="383C2774"/>
    <w:rsid w:val="38514471"/>
    <w:rsid w:val="385775AE"/>
    <w:rsid w:val="386D6CE9"/>
    <w:rsid w:val="38763ED8"/>
    <w:rsid w:val="38765C86"/>
    <w:rsid w:val="388163D9"/>
    <w:rsid w:val="38887767"/>
    <w:rsid w:val="388D1222"/>
    <w:rsid w:val="388D2FD0"/>
    <w:rsid w:val="38A0235A"/>
    <w:rsid w:val="38B72CB1"/>
    <w:rsid w:val="38C228F0"/>
    <w:rsid w:val="38C8225A"/>
    <w:rsid w:val="38CD1F93"/>
    <w:rsid w:val="38D62BC9"/>
    <w:rsid w:val="38DE1A7D"/>
    <w:rsid w:val="38E70932"/>
    <w:rsid w:val="38EF5A38"/>
    <w:rsid w:val="38F80D91"/>
    <w:rsid w:val="390239BE"/>
    <w:rsid w:val="39033292"/>
    <w:rsid w:val="391334D5"/>
    <w:rsid w:val="39290F4A"/>
    <w:rsid w:val="392A6A70"/>
    <w:rsid w:val="39355B41"/>
    <w:rsid w:val="39372AFD"/>
    <w:rsid w:val="39444EDD"/>
    <w:rsid w:val="395A1104"/>
    <w:rsid w:val="395B4E7C"/>
    <w:rsid w:val="395C3445"/>
    <w:rsid w:val="39697599"/>
    <w:rsid w:val="39711908"/>
    <w:rsid w:val="39733B5F"/>
    <w:rsid w:val="39785A2E"/>
    <w:rsid w:val="3986014B"/>
    <w:rsid w:val="399003FF"/>
    <w:rsid w:val="39C611CD"/>
    <w:rsid w:val="39C66799"/>
    <w:rsid w:val="39D92970"/>
    <w:rsid w:val="39DF3CFF"/>
    <w:rsid w:val="39F552D0"/>
    <w:rsid w:val="39F96B6F"/>
    <w:rsid w:val="3A192D6D"/>
    <w:rsid w:val="3A296D28"/>
    <w:rsid w:val="3A4602DF"/>
    <w:rsid w:val="3A557B1D"/>
    <w:rsid w:val="3A63048C"/>
    <w:rsid w:val="3A6948F2"/>
    <w:rsid w:val="3A72247D"/>
    <w:rsid w:val="3A7E52C6"/>
    <w:rsid w:val="3A8B1791"/>
    <w:rsid w:val="3A995C5C"/>
    <w:rsid w:val="3AA6301F"/>
    <w:rsid w:val="3AAC3BE1"/>
    <w:rsid w:val="3AB94550"/>
    <w:rsid w:val="3AC76C6D"/>
    <w:rsid w:val="3ACC6031"/>
    <w:rsid w:val="3AD05557"/>
    <w:rsid w:val="3AD2116E"/>
    <w:rsid w:val="3AEB3D5E"/>
    <w:rsid w:val="3AFE1315"/>
    <w:rsid w:val="3B0E664A"/>
    <w:rsid w:val="3B123032"/>
    <w:rsid w:val="3B191B5E"/>
    <w:rsid w:val="3B2714BA"/>
    <w:rsid w:val="3B2F65C0"/>
    <w:rsid w:val="3B4F27BE"/>
    <w:rsid w:val="3B5722AF"/>
    <w:rsid w:val="3B590236"/>
    <w:rsid w:val="3B783AC3"/>
    <w:rsid w:val="3B871F58"/>
    <w:rsid w:val="3B8B3748"/>
    <w:rsid w:val="3B8E39EE"/>
    <w:rsid w:val="3BA90120"/>
    <w:rsid w:val="3BAE5737"/>
    <w:rsid w:val="3BBF7944"/>
    <w:rsid w:val="3BC136BC"/>
    <w:rsid w:val="3BCE7B87"/>
    <w:rsid w:val="3BD3519D"/>
    <w:rsid w:val="3BFA097C"/>
    <w:rsid w:val="3C010E08"/>
    <w:rsid w:val="3C01711E"/>
    <w:rsid w:val="3C062A53"/>
    <w:rsid w:val="3C067321"/>
    <w:rsid w:val="3C0D4B53"/>
    <w:rsid w:val="3C131A3E"/>
    <w:rsid w:val="3C137C90"/>
    <w:rsid w:val="3C2E3FE3"/>
    <w:rsid w:val="3C477159"/>
    <w:rsid w:val="3C666012"/>
    <w:rsid w:val="3C676344"/>
    <w:rsid w:val="3C6B187A"/>
    <w:rsid w:val="3C6E4EC6"/>
    <w:rsid w:val="3C797AF3"/>
    <w:rsid w:val="3C850B8E"/>
    <w:rsid w:val="3C942AF3"/>
    <w:rsid w:val="3C9E57AB"/>
    <w:rsid w:val="3CBF77CD"/>
    <w:rsid w:val="3CC84251"/>
    <w:rsid w:val="3CD967E3"/>
    <w:rsid w:val="3CE37662"/>
    <w:rsid w:val="3CE77152"/>
    <w:rsid w:val="3D1912D6"/>
    <w:rsid w:val="3D1C4922"/>
    <w:rsid w:val="3D2008B6"/>
    <w:rsid w:val="3D257C7B"/>
    <w:rsid w:val="3D281519"/>
    <w:rsid w:val="3D4C16AB"/>
    <w:rsid w:val="3D4E0F7F"/>
    <w:rsid w:val="3D581DFE"/>
    <w:rsid w:val="3D6C58AA"/>
    <w:rsid w:val="3D6F0EF6"/>
    <w:rsid w:val="3D712EC0"/>
    <w:rsid w:val="3D714C6E"/>
    <w:rsid w:val="3D7529B0"/>
    <w:rsid w:val="3D767D72"/>
    <w:rsid w:val="3D7B3D3F"/>
    <w:rsid w:val="3D85696B"/>
    <w:rsid w:val="3D89020A"/>
    <w:rsid w:val="3D8C0D4E"/>
    <w:rsid w:val="3D8C5F4C"/>
    <w:rsid w:val="3D8F1598"/>
    <w:rsid w:val="3D9646D4"/>
    <w:rsid w:val="3D9B1CEB"/>
    <w:rsid w:val="3DA4395A"/>
    <w:rsid w:val="3DB956C5"/>
    <w:rsid w:val="3DBA6615"/>
    <w:rsid w:val="3DC16988"/>
    <w:rsid w:val="3DC2371B"/>
    <w:rsid w:val="3DC6320C"/>
    <w:rsid w:val="3DCB0822"/>
    <w:rsid w:val="3DDE5126"/>
    <w:rsid w:val="3DDF607B"/>
    <w:rsid w:val="3DE74F30"/>
    <w:rsid w:val="3E1A5306"/>
    <w:rsid w:val="3E216694"/>
    <w:rsid w:val="3E326D31"/>
    <w:rsid w:val="3E75253C"/>
    <w:rsid w:val="3E772758"/>
    <w:rsid w:val="3E860C89"/>
    <w:rsid w:val="3EB2324E"/>
    <w:rsid w:val="3EBF3B64"/>
    <w:rsid w:val="3ED03C16"/>
    <w:rsid w:val="3EF1250A"/>
    <w:rsid w:val="3EF26282"/>
    <w:rsid w:val="3F00274D"/>
    <w:rsid w:val="3F1104B7"/>
    <w:rsid w:val="3F210ABF"/>
    <w:rsid w:val="3F401885"/>
    <w:rsid w:val="3F4A5777"/>
    <w:rsid w:val="3F5E7999"/>
    <w:rsid w:val="3F5F5ABC"/>
    <w:rsid w:val="3F7B7391"/>
    <w:rsid w:val="3F942E96"/>
    <w:rsid w:val="3F964E60"/>
    <w:rsid w:val="3F9B2476"/>
    <w:rsid w:val="3FA27627"/>
    <w:rsid w:val="3FA4757D"/>
    <w:rsid w:val="3FA7706D"/>
    <w:rsid w:val="3FA806EF"/>
    <w:rsid w:val="3FB83028"/>
    <w:rsid w:val="3FD15E98"/>
    <w:rsid w:val="3FD21382"/>
    <w:rsid w:val="3FD634AE"/>
    <w:rsid w:val="3FE31DB3"/>
    <w:rsid w:val="3FF04570"/>
    <w:rsid w:val="3FF102E8"/>
    <w:rsid w:val="3FFA5C38"/>
    <w:rsid w:val="400022D9"/>
    <w:rsid w:val="4004626D"/>
    <w:rsid w:val="400E49F6"/>
    <w:rsid w:val="40112738"/>
    <w:rsid w:val="4037219F"/>
    <w:rsid w:val="40583EC3"/>
    <w:rsid w:val="4061721C"/>
    <w:rsid w:val="406B3BF6"/>
    <w:rsid w:val="40736F4F"/>
    <w:rsid w:val="40973140"/>
    <w:rsid w:val="409749EB"/>
    <w:rsid w:val="409F1AF2"/>
    <w:rsid w:val="40BF2194"/>
    <w:rsid w:val="40C43051"/>
    <w:rsid w:val="40C63523"/>
    <w:rsid w:val="40CA166C"/>
    <w:rsid w:val="40D21EC7"/>
    <w:rsid w:val="40DA6FCE"/>
    <w:rsid w:val="40E165AE"/>
    <w:rsid w:val="40EA7211"/>
    <w:rsid w:val="40FB7670"/>
    <w:rsid w:val="40FF07E3"/>
    <w:rsid w:val="410B53D9"/>
    <w:rsid w:val="41163832"/>
    <w:rsid w:val="411918A4"/>
    <w:rsid w:val="412070D7"/>
    <w:rsid w:val="41233D36"/>
    <w:rsid w:val="412546ED"/>
    <w:rsid w:val="41281AE7"/>
    <w:rsid w:val="41306BEE"/>
    <w:rsid w:val="4142704D"/>
    <w:rsid w:val="415D5C35"/>
    <w:rsid w:val="41680394"/>
    <w:rsid w:val="416C5E78"/>
    <w:rsid w:val="41766CF7"/>
    <w:rsid w:val="417D62D7"/>
    <w:rsid w:val="417E204F"/>
    <w:rsid w:val="418C6A2A"/>
    <w:rsid w:val="418E4D5D"/>
    <w:rsid w:val="419453CF"/>
    <w:rsid w:val="419826A4"/>
    <w:rsid w:val="419D4283"/>
    <w:rsid w:val="419E624E"/>
    <w:rsid w:val="41A25D3E"/>
    <w:rsid w:val="41C2018E"/>
    <w:rsid w:val="41D35EF7"/>
    <w:rsid w:val="41FF6CEC"/>
    <w:rsid w:val="42024A2E"/>
    <w:rsid w:val="420367D0"/>
    <w:rsid w:val="42162288"/>
    <w:rsid w:val="421B164C"/>
    <w:rsid w:val="42276243"/>
    <w:rsid w:val="422C5607"/>
    <w:rsid w:val="423050F8"/>
    <w:rsid w:val="42607A93"/>
    <w:rsid w:val="42611755"/>
    <w:rsid w:val="4262727B"/>
    <w:rsid w:val="42644DA1"/>
    <w:rsid w:val="426E79CE"/>
    <w:rsid w:val="42764AD5"/>
    <w:rsid w:val="428434D8"/>
    <w:rsid w:val="42845443"/>
    <w:rsid w:val="428B0580"/>
    <w:rsid w:val="428B67D2"/>
    <w:rsid w:val="428D505F"/>
    <w:rsid w:val="428E2307"/>
    <w:rsid w:val="42925DB2"/>
    <w:rsid w:val="429631A2"/>
    <w:rsid w:val="429A6A15"/>
    <w:rsid w:val="429F2D3C"/>
    <w:rsid w:val="42AB29D0"/>
    <w:rsid w:val="42B75819"/>
    <w:rsid w:val="42B850ED"/>
    <w:rsid w:val="42B9333F"/>
    <w:rsid w:val="42C26942"/>
    <w:rsid w:val="42C76941"/>
    <w:rsid w:val="42CB6BCE"/>
    <w:rsid w:val="42D02437"/>
    <w:rsid w:val="42E243E9"/>
    <w:rsid w:val="42E3660E"/>
    <w:rsid w:val="42F205FF"/>
    <w:rsid w:val="42F60303"/>
    <w:rsid w:val="4303280C"/>
    <w:rsid w:val="43137713"/>
    <w:rsid w:val="43210CDB"/>
    <w:rsid w:val="43210EE4"/>
    <w:rsid w:val="432509D4"/>
    <w:rsid w:val="433A3D54"/>
    <w:rsid w:val="43686B13"/>
    <w:rsid w:val="436F1C50"/>
    <w:rsid w:val="43810DB2"/>
    <w:rsid w:val="43853221"/>
    <w:rsid w:val="438A0837"/>
    <w:rsid w:val="43994F1E"/>
    <w:rsid w:val="43A51889"/>
    <w:rsid w:val="43AD4526"/>
    <w:rsid w:val="43CF137B"/>
    <w:rsid w:val="43E02B4D"/>
    <w:rsid w:val="43EA7528"/>
    <w:rsid w:val="43F860E9"/>
    <w:rsid w:val="43FB34E3"/>
    <w:rsid w:val="43FB7987"/>
    <w:rsid w:val="440B5E1C"/>
    <w:rsid w:val="44136A7F"/>
    <w:rsid w:val="441822E7"/>
    <w:rsid w:val="441A7E0D"/>
    <w:rsid w:val="443B5FD6"/>
    <w:rsid w:val="44421112"/>
    <w:rsid w:val="44447312"/>
    <w:rsid w:val="4447497A"/>
    <w:rsid w:val="44483137"/>
    <w:rsid w:val="444E5D09"/>
    <w:rsid w:val="44562E10"/>
    <w:rsid w:val="44580936"/>
    <w:rsid w:val="44641089"/>
    <w:rsid w:val="44654E01"/>
    <w:rsid w:val="4474551E"/>
    <w:rsid w:val="44901E7E"/>
    <w:rsid w:val="449556E6"/>
    <w:rsid w:val="449851D6"/>
    <w:rsid w:val="44A33609"/>
    <w:rsid w:val="44A75419"/>
    <w:rsid w:val="44B30262"/>
    <w:rsid w:val="44B33DBE"/>
    <w:rsid w:val="44C47D79"/>
    <w:rsid w:val="44E95A32"/>
    <w:rsid w:val="44E977E0"/>
    <w:rsid w:val="44ED5522"/>
    <w:rsid w:val="44F06DC0"/>
    <w:rsid w:val="451153CD"/>
    <w:rsid w:val="451707F1"/>
    <w:rsid w:val="4517259F"/>
    <w:rsid w:val="45232CF2"/>
    <w:rsid w:val="45246A6A"/>
    <w:rsid w:val="45280308"/>
    <w:rsid w:val="453B4A8C"/>
    <w:rsid w:val="45575D01"/>
    <w:rsid w:val="455C6204"/>
    <w:rsid w:val="45603F46"/>
    <w:rsid w:val="45717F01"/>
    <w:rsid w:val="4585575A"/>
    <w:rsid w:val="45997458"/>
    <w:rsid w:val="459B31D0"/>
    <w:rsid w:val="45A1630C"/>
    <w:rsid w:val="45A71B75"/>
    <w:rsid w:val="45B61DB8"/>
    <w:rsid w:val="45C049E4"/>
    <w:rsid w:val="45C269AF"/>
    <w:rsid w:val="45C53DA9"/>
    <w:rsid w:val="45C64D7A"/>
    <w:rsid w:val="45CD7101"/>
    <w:rsid w:val="45E2495B"/>
    <w:rsid w:val="45E701C3"/>
    <w:rsid w:val="460C5E7C"/>
    <w:rsid w:val="46130FB8"/>
    <w:rsid w:val="4631143E"/>
    <w:rsid w:val="465D0925"/>
    <w:rsid w:val="4674757D"/>
    <w:rsid w:val="46771A09"/>
    <w:rsid w:val="4678706D"/>
    <w:rsid w:val="467E0A66"/>
    <w:rsid w:val="468C48C7"/>
    <w:rsid w:val="468E6891"/>
    <w:rsid w:val="469B0FAE"/>
    <w:rsid w:val="46A80296"/>
    <w:rsid w:val="46B06807"/>
    <w:rsid w:val="46C95B1B"/>
    <w:rsid w:val="46C978C9"/>
    <w:rsid w:val="46D651B3"/>
    <w:rsid w:val="46DE3DA2"/>
    <w:rsid w:val="46EB3CE3"/>
    <w:rsid w:val="46F05E22"/>
    <w:rsid w:val="46F10BCE"/>
    <w:rsid w:val="46F54B62"/>
    <w:rsid w:val="47046B53"/>
    <w:rsid w:val="471A6376"/>
    <w:rsid w:val="47256721"/>
    <w:rsid w:val="472D6632"/>
    <w:rsid w:val="472F1E22"/>
    <w:rsid w:val="474F4272"/>
    <w:rsid w:val="475F1FDB"/>
    <w:rsid w:val="47776131"/>
    <w:rsid w:val="477912EF"/>
    <w:rsid w:val="477A0BC3"/>
    <w:rsid w:val="479C6D8B"/>
    <w:rsid w:val="47A45C40"/>
    <w:rsid w:val="47C85DD2"/>
    <w:rsid w:val="47D12ED9"/>
    <w:rsid w:val="47D66741"/>
    <w:rsid w:val="47DC523D"/>
    <w:rsid w:val="47E81FD1"/>
    <w:rsid w:val="47F20DC3"/>
    <w:rsid w:val="480768FB"/>
    <w:rsid w:val="48120DEB"/>
    <w:rsid w:val="481C1C7A"/>
    <w:rsid w:val="483E7E42"/>
    <w:rsid w:val="484254F2"/>
    <w:rsid w:val="484D62D8"/>
    <w:rsid w:val="4851401A"/>
    <w:rsid w:val="485338EE"/>
    <w:rsid w:val="489E17CD"/>
    <w:rsid w:val="48A405ED"/>
    <w:rsid w:val="48B84099"/>
    <w:rsid w:val="48C25C1A"/>
    <w:rsid w:val="48CB3DCC"/>
    <w:rsid w:val="48DD3AFF"/>
    <w:rsid w:val="48E96000"/>
    <w:rsid w:val="48EB621C"/>
    <w:rsid w:val="48F7696F"/>
    <w:rsid w:val="493A2D00"/>
    <w:rsid w:val="493A4AAE"/>
    <w:rsid w:val="494476DB"/>
    <w:rsid w:val="49634005"/>
    <w:rsid w:val="496D3547"/>
    <w:rsid w:val="497D31DB"/>
    <w:rsid w:val="499F46D9"/>
    <w:rsid w:val="49A54DE8"/>
    <w:rsid w:val="49B83B96"/>
    <w:rsid w:val="49C749A0"/>
    <w:rsid w:val="49E8275C"/>
    <w:rsid w:val="4A0330F2"/>
    <w:rsid w:val="4A17094B"/>
    <w:rsid w:val="4A176B9D"/>
    <w:rsid w:val="4A201EF6"/>
    <w:rsid w:val="4A273284"/>
    <w:rsid w:val="4A4200BE"/>
    <w:rsid w:val="4A4E6A63"/>
    <w:rsid w:val="4A4F6337"/>
    <w:rsid w:val="4A58343D"/>
    <w:rsid w:val="4A677B24"/>
    <w:rsid w:val="4A6858A1"/>
    <w:rsid w:val="4A743FEF"/>
    <w:rsid w:val="4A7B712C"/>
    <w:rsid w:val="4A7E6C1C"/>
    <w:rsid w:val="4A8561FD"/>
    <w:rsid w:val="4A895CED"/>
    <w:rsid w:val="4A9106FD"/>
    <w:rsid w:val="4A9A1CA8"/>
    <w:rsid w:val="4AA85A47"/>
    <w:rsid w:val="4AB432A0"/>
    <w:rsid w:val="4AB50890"/>
    <w:rsid w:val="4ABA5EA6"/>
    <w:rsid w:val="4ABD5996"/>
    <w:rsid w:val="4AD93E52"/>
    <w:rsid w:val="4ADA1BF5"/>
    <w:rsid w:val="4AE31708"/>
    <w:rsid w:val="4AF15640"/>
    <w:rsid w:val="4B047121"/>
    <w:rsid w:val="4B074E64"/>
    <w:rsid w:val="4B1355B6"/>
    <w:rsid w:val="4B15132F"/>
    <w:rsid w:val="4B1A06F3"/>
    <w:rsid w:val="4B1A6945"/>
    <w:rsid w:val="4B4B4D50"/>
    <w:rsid w:val="4B4E65EF"/>
    <w:rsid w:val="4B517E8D"/>
    <w:rsid w:val="4B5F25AA"/>
    <w:rsid w:val="4B773D97"/>
    <w:rsid w:val="4B810772"/>
    <w:rsid w:val="4BA83B4B"/>
    <w:rsid w:val="4BAD5A0B"/>
    <w:rsid w:val="4BC468B1"/>
    <w:rsid w:val="4BCB40E3"/>
    <w:rsid w:val="4BCE772F"/>
    <w:rsid w:val="4BED4059"/>
    <w:rsid w:val="4BF076A6"/>
    <w:rsid w:val="4BF929FE"/>
    <w:rsid w:val="4BFC604B"/>
    <w:rsid w:val="4C080E93"/>
    <w:rsid w:val="4C0C0983"/>
    <w:rsid w:val="4C26756B"/>
    <w:rsid w:val="4C2D4456"/>
    <w:rsid w:val="4C3752D5"/>
    <w:rsid w:val="4C39104D"/>
    <w:rsid w:val="4C3D6D8F"/>
    <w:rsid w:val="4C46376A"/>
    <w:rsid w:val="4C481290"/>
    <w:rsid w:val="4C4874E2"/>
    <w:rsid w:val="4C59524B"/>
    <w:rsid w:val="4C5E4F57"/>
    <w:rsid w:val="4C714C8A"/>
    <w:rsid w:val="4C8524E4"/>
    <w:rsid w:val="4C8D3147"/>
    <w:rsid w:val="4C940979"/>
    <w:rsid w:val="4C96649F"/>
    <w:rsid w:val="4CAC5CC3"/>
    <w:rsid w:val="4CB132D9"/>
    <w:rsid w:val="4CB16E35"/>
    <w:rsid w:val="4CB64A77"/>
    <w:rsid w:val="4CB77987"/>
    <w:rsid w:val="4CB86415"/>
    <w:rsid w:val="4CC27294"/>
    <w:rsid w:val="4CCC1EC1"/>
    <w:rsid w:val="4CDF7E46"/>
    <w:rsid w:val="4CF3569F"/>
    <w:rsid w:val="4CFA6A2E"/>
    <w:rsid w:val="4D0A29E9"/>
    <w:rsid w:val="4D1F0243"/>
    <w:rsid w:val="4D234DBE"/>
    <w:rsid w:val="4D332641"/>
    <w:rsid w:val="4D40640B"/>
    <w:rsid w:val="4D4C15C3"/>
    <w:rsid w:val="4D537561"/>
    <w:rsid w:val="4D5C1497"/>
    <w:rsid w:val="4D700A9E"/>
    <w:rsid w:val="4D822A2D"/>
    <w:rsid w:val="4D87403A"/>
    <w:rsid w:val="4DAE06B8"/>
    <w:rsid w:val="4DB03590"/>
    <w:rsid w:val="4DB12E65"/>
    <w:rsid w:val="4DB50BA7"/>
    <w:rsid w:val="4DB6480E"/>
    <w:rsid w:val="4DB766CD"/>
    <w:rsid w:val="4DCE3A17"/>
    <w:rsid w:val="4DDA4436"/>
    <w:rsid w:val="4DF76D31"/>
    <w:rsid w:val="4DFC67D6"/>
    <w:rsid w:val="4DFE254E"/>
    <w:rsid w:val="4E035DB6"/>
    <w:rsid w:val="4E094A4F"/>
    <w:rsid w:val="4E18105F"/>
    <w:rsid w:val="4E235B10"/>
    <w:rsid w:val="4E2B2C17"/>
    <w:rsid w:val="4E38199C"/>
    <w:rsid w:val="4E597784"/>
    <w:rsid w:val="4E685C19"/>
    <w:rsid w:val="4E710F72"/>
    <w:rsid w:val="4E915170"/>
    <w:rsid w:val="4EA12ED9"/>
    <w:rsid w:val="4EAF6189"/>
    <w:rsid w:val="4EBB21ED"/>
    <w:rsid w:val="4ECE0172"/>
    <w:rsid w:val="4ED21CEB"/>
    <w:rsid w:val="4EDD2163"/>
    <w:rsid w:val="4EE03A01"/>
    <w:rsid w:val="4EE471C1"/>
    <w:rsid w:val="4EE47996"/>
    <w:rsid w:val="4F041DE6"/>
    <w:rsid w:val="4F0E056F"/>
    <w:rsid w:val="4F165675"/>
    <w:rsid w:val="4F4C553B"/>
    <w:rsid w:val="4F4E3061"/>
    <w:rsid w:val="4F5F0DCA"/>
    <w:rsid w:val="4F702FD7"/>
    <w:rsid w:val="4F716D4F"/>
    <w:rsid w:val="4F734876"/>
    <w:rsid w:val="4F866F29"/>
    <w:rsid w:val="4F9C3DCC"/>
    <w:rsid w:val="4F9D5D96"/>
    <w:rsid w:val="4FB01626"/>
    <w:rsid w:val="4FB54E8E"/>
    <w:rsid w:val="4FBB7FCB"/>
    <w:rsid w:val="4FBF3F5F"/>
    <w:rsid w:val="4FC155E1"/>
    <w:rsid w:val="4FDA48F5"/>
    <w:rsid w:val="4FE70DC0"/>
    <w:rsid w:val="4FF44D47"/>
    <w:rsid w:val="4FFD05E3"/>
    <w:rsid w:val="4FFE4A87"/>
    <w:rsid w:val="5006588D"/>
    <w:rsid w:val="50067498"/>
    <w:rsid w:val="500876B4"/>
    <w:rsid w:val="500D0826"/>
    <w:rsid w:val="500F7F38"/>
    <w:rsid w:val="50106568"/>
    <w:rsid w:val="50146059"/>
    <w:rsid w:val="50250266"/>
    <w:rsid w:val="50265D8C"/>
    <w:rsid w:val="50324731"/>
    <w:rsid w:val="503A35E5"/>
    <w:rsid w:val="50446212"/>
    <w:rsid w:val="504B75A0"/>
    <w:rsid w:val="50504BB7"/>
    <w:rsid w:val="50612676"/>
    <w:rsid w:val="506A211C"/>
    <w:rsid w:val="507813C6"/>
    <w:rsid w:val="507C775A"/>
    <w:rsid w:val="508036EE"/>
    <w:rsid w:val="508A2062"/>
    <w:rsid w:val="50923421"/>
    <w:rsid w:val="509E3B74"/>
    <w:rsid w:val="50A75050"/>
    <w:rsid w:val="50AF7B2F"/>
    <w:rsid w:val="50BB0282"/>
    <w:rsid w:val="50BB2978"/>
    <w:rsid w:val="50C86E43"/>
    <w:rsid w:val="50D047A3"/>
    <w:rsid w:val="50D15CF8"/>
    <w:rsid w:val="50D41344"/>
    <w:rsid w:val="50DD469C"/>
    <w:rsid w:val="50E13A61"/>
    <w:rsid w:val="50EA500B"/>
    <w:rsid w:val="50F33EC0"/>
    <w:rsid w:val="50FA1E4A"/>
    <w:rsid w:val="51071719"/>
    <w:rsid w:val="512240FB"/>
    <w:rsid w:val="512332D2"/>
    <w:rsid w:val="51234079"/>
    <w:rsid w:val="5139361C"/>
    <w:rsid w:val="51503990"/>
    <w:rsid w:val="515B3813"/>
    <w:rsid w:val="5171202B"/>
    <w:rsid w:val="517F7502"/>
    <w:rsid w:val="5184720E"/>
    <w:rsid w:val="518F735B"/>
    <w:rsid w:val="51905BB3"/>
    <w:rsid w:val="51A74CAA"/>
    <w:rsid w:val="51AB479B"/>
    <w:rsid w:val="51BB2504"/>
    <w:rsid w:val="51BE5E97"/>
    <w:rsid w:val="51C770FB"/>
    <w:rsid w:val="51E952C3"/>
    <w:rsid w:val="51F35595"/>
    <w:rsid w:val="51F872B4"/>
    <w:rsid w:val="52036385"/>
    <w:rsid w:val="52126BE7"/>
    <w:rsid w:val="521A722A"/>
    <w:rsid w:val="521F0CE5"/>
    <w:rsid w:val="522D519C"/>
    <w:rsid w:val="523A5B1F"/>
    <w:rsid w:val="523C53F3"/>
    <w:rsid w:val="523D116B"/>
    <w:rsid w:val="523E5C37"/>
    <w:rsid w:val="523F4EE3"/>
    <w:rsid w:val="524C698D"/>
    <w:rsid w:val="524D13AE"/>
    <w:rsid w:val="525057AA"/>
    <w:rsid w:val="525F5585"/>
    <w:rsid w:val="52611934"/>
    <w:rsid w:val="526B217C"/>
    <w:rsid w:val="526D1A50"/>
    <w:rsid w:val="527943BF"/>
    <w:rsid w:val="527A5F1B"/>
    <w:rsid w:val="527C7EE5"/>
    <w:rsid w:val="52833022"/>
    <w:rsid w:val="529140F7"/>
    <w:rsid w:val="52AA2CA4"/>
    <w:rsid w:val="52AF02BB"/>
    <w:rsid w:val="52B70F1D"/>
    <w:rsid w:val="52C06024"/>
    <w:rsid w:val="52D23FA9"/>
    <w:rsid w:val="52D7336D"/>
    <w:rsid w:val="52E87329"/>
    <w:rsid w:val="52FD627C"/>
    <w:rsid w:val="5305612D"/>
    <w:rsid w:val="53177C0E"/>
    <w:rsid w:val="532D755E"/>
    <w:rsid w:val="5330563A"/>
    <w:rsid w:val="533F163E"/>
    <w:rsid w:val="53476745"/>
    <w:rsid w:val="535350EA"/>
    <w:rsid w:val="53536E98"/>
    <w:rsid w:val="53634C01"/>
    <w:rsid w:val="53784B50"/>
    <w:rsid w:val="53876B42"/>
    <w:rsid w:val="538F3C48"/>
    <w:rsid w:val="53980D4F"/>
    <w:rsid w:val="539A4AC7"/>
    <w:rsid w:val="53A414A2"/>
    <w:rsid w:val="53A45945"/>
    <w:rsid w:val="53AF7E46"/>
    <w:rsid w:val="53BA0CC5"/>
    <w:rsid w:val="53C37DB8"/>
    <w:rsid w:val="53C51418"/>
    <w:rsid w:val="53C85615"/>
    <w:rsid w:val="53DA3115"/>
    <w:rsid w:val="53DF66E2"/>
    <w:rsid w:val="53E421E6"/>
    <w:rsid w:val="53FA5585"/>
    <w:rsid w:val="53FF4EA5"/>
    <w:rsid w:val="54102FDB"/>
    <w:rsid w:val="54161C73"/>
    <w:rsid w:val="541C54DC"/>
    <w:rsid w:val="543C576A"/>
    <w:rsid w:val="54436F0C"/>
    <w:rsid w:val="54483C93"/>
    <w:rsid w:val="54493DF7"/>
    <w:rsid w:val="54660E4D"/>
    <w:rsid w:val="546702F8"/>
    <w:rsid w:val="54673F42"/>
    <w:rsid w:val="546B1FBF"/>
    <w:rsid w:val="546E7D01"/>
    <w:rsid w:val="547075D6"/>
    <w:rsid w:val="54770964"/>
    <w:rsid w:val="547E6196"/>
    <w:rsid w:val="548B440F"/>
    <w:rsid w:val="54923783"/>
    <w:rsid w:val="54964AAE"/>
    <w:rsid w:val="54980C95"/>
    <w:rsid w:val="549C2BB3"/>
    <w:rsid w:val="54A01A07"/>
    <w:rsid w:val="54A13C33"/>
    <w:rsid w:val="54B06DFE"/>
    <w:rsid w:val="54B418FE"/>
    <w:rsid w:val="54BF40B9"/>
    <w:rsid w:val="54C3004D"/>
    <w:rsid w:val="54C47921"/>
    <w:rsid w:val="54CA318A"/>
    <w:rsid w:val="54E0475B"/>
    <w:rsid w:val="54E56216"/>
    <w:rsid w:val="54EB4EAE"/>
    <w:rsid w:val="54F2015E"/>
    <w:rsid w:val="54F55D2D"/>
    <w:rsid w:val="54F77CF7"/>
    <w:rsid w:val="55050666"/>
    <w:rsid w:val="550541C2"/>
    <w:rsid w:val="55055F70"/>
    <w:rsid w:val="550A17D8"/>
    <w:rsid w:val="55124B31"/>
    <w:rsid w:val="55173EF5"/>
    <w:rsid w:val="55193398"/>
    <w:rsid w:val="552705DC"/>
    <w:rsid w:val="553216D2"/>
    <w:rsid w:val="55326F81"/>
    <w:rsid w:val="55434CEA"/>
    <w:rsid w:val="55452810"/>
    <w:rsid w:val="554A6079"/>
    <w:rsid w:val="554F2C9C"/>
    <w:rsid w:val="55524507"/>
    <w:rsid w:val="555467FF"/>
    <w:rsid w:val="55676C2B"/>
    <w:rsid w:val="556F5ADF"/>
    <w:rsid w:val="55797948"/>
    <w:rsid w:val="55821CB6"/>
    <w:rsid w:val="5583158B"/>
    <w:rsid w:val="558C4873"/>
    <w:rsid w:val="558C6691"/>
    <w:rsid w:val="558E2409"/>
    <w:rsid w:val="55913CA7"/>
    <w:rsid w:val="55997E7C"/>
    <w:rsid w:val="559D43FA"/>
    <w:rsid w:val="55AF2380"/>
    <w:rsid w:val="55B47996"/>
    <w:rsid w:val="55B7536B"/>
    <w:rsid w:val="55BB0C26"/>
    <w:rsid w:val="55BB2AD2"/>
    <w:rsid w:val="55CD5D6D"/>
    <w:rsid w:val="55DC01B2"/>
    <w:rsid w:val="55FD133D"/>
    <w:rsid w:val="560E52F8"/>
    <w:rsid w:val="5613290E"/>
    <w:rsid w:val="56293EE0"/>
    <w:rsid w:val="564451BE"/>
    <w:rsid w:val="564B416B"/>
    <w:rsid w:val="565C6063"/>
    <w:rsid w:val="56660C90"/>
    <w:rsid w:val="5669595E"/>
    <w:rsid w:val="566B44F9"/>
    <w:rsid w:val="566E3FE9"/>
    <w:rsid w:val="567A0BDF"/>
    <w:rsid w:val="567C4958"/>
    <w:rsid w:val="56813D1C"/>
    <w:rsid w:val="56927CD7"/>
    <w:rsid w:val="5697353F"/>
    <w:rsid w:val="56AF6ADB"/>
    <w:rsid w:val="56C67981"/>
    <w:rsid w:val="56CF0F2B"/>
    <w:rsid w:val="56D57BC4"/>
    <w:rsid w:val="56E154F7"/>
    <w:rsid w:val="56EE0C86"/>
    <w:rsid w:val="57061ACA"/>
    <w:rsid w:val="570A3D11"/>
    <w:rsid w:val="5714693E"/>
    <w:rsid w:val="571B5F1F"/>
    <w:rsid w:val="57233025"/>
    <w:rsid w:val="572528F9"/>
    <w:rsid w:val="5728063B"/>
    <w:rsid w:val="572A6162"/>
    <w:rsid w:val="572C1045"/>
    <w:rsid w:val="572F19CA"/>
    <w:rsid w:val="573E1C0D"/>
    <w:rsid w:val="574F43DF"/>
    <w:rsid w:val="57526875"/>
    <w:rsid w:val="576A0FE7"/>
    <w:rsid w:val="577B69BD"/>
    <w:rsid w:val="578943CB"/>
    <w:rsid w:val="57A203EE"/>
    <w:rsid w:val="57A85800"/>
    <w:rsid w:val="57BC2B32"/>
    <w:rsid w:val="57D305A7"/>
    <w:rsid w:val="57D460CD"/>
    <w:rsid w:val="57D658AE"/>
    <w:rsid w:val="57DF519E"/>
    <w:rsid w:val="57EE07D4"/>
    <w:rsid w:val="57F81DBC"/>
    <w:rsid w:val="5805272B"/>
    <w:rsid w:val="580F5357"/>
    <w:rsid w:val="58164938"/>
    <w:rsid w:val="582157B7"/>
    <w:rsid w:val="582726A1"/>
    <w:rsid w:val="58276B45"/>
    <w:rsid w:val="58403763"/>
    <w:rsid w:val="584D6FEA"/>
    <w:rsid w:val="585A4825"/>
    <w:rsid w:val="586B07E0"/>
    <w:rsid w:val="587D6765"/>
    <w:rsid w:val="58AB32D2"/>
    <w:rsid w:val="58B008E9"/>
    <w:rsid w:val="58C3061C"/>
    <w:rsid w:val="58C757BE"/>
    <w:rsid w:val="58D75E75"/>
    <w:rsid w:val="58D97E3F"/>
    <w:rsid w:val="58DA7713"/>
    <w:rsid w:val="58DC1A37"/>
    <w:rsid w:val="58DF2F7C"/>
    <w:rsid w:val="58E826FB"/>
    <w:rsid w:val="58F06F37"/>
    <w:rsid w:val="58FA7DB6"/>
    <w:rsid w:val="590B3D71"/>
    <w:rsid w:val="590C12B4"/>
    <w:rsid w:val="590E560F"/>
    <w:rsid w:val="590F1AB3"/>
    <w:rsid w:val="59101387"/>
    <w:rsid w:val="591A5D0B"/>
    <w:rsid w:val="59202368"/>
    <w:rsid w:val="59246BE1"/>
    <w:rsid w:val="59464DA9"/>
    <w:rsid w:val="594D3FC0"/>
    <w:rsid w:val="595079D6"/>
    <w:rsid w:val="595C281E"/>
    <w:rsid w:val="5963595B"/>
    <w:rsid w:val="596B480F"/>
    <w:rsid w:val="59710078"/>
    <w:rsid w:val="597447F7"/>
    <w:rsid w:val="59745DBA"/>
    <w:rsid w:val="59747B68"/>
    <w:rsid w:val="597A1831"/>
    <w:rsid w:val="597A4A53"/>
    <w:rsid w:val="598F04FE"/>
    <w:rsid w:val="59907C63"/>
    <w:rsid w:val="59973856"/>
    <w:rsid w:val="59A0270B"/>
    <w:rsid w:val="59A246D5"/>
    <w:rsid w:val="59A33FA9"/>
    <w:rsid w:val="59AC5676"/>
    <w:rsid w:val="59BD32BD"/>
    <w:rsid w:val="59C503C4"/>
    <w:rsid w:val="59D625D1"/>
    <w:rsid w:val="59EA4284"/>
    <w:rsid w:val="59F667CF"/>
    <w:rsid w:val="59F760A3"/>
    <w:rsid w:val="5A04713E"/>
    <w:rsid w:val="5A0E1F1F"/>
    <w:rsid w:val="5A160C1F"/>
    <w:rsid w:val="5A1D1FAE"/>
    <w:rsid w:val="5A221372"/>
    <w:rsid w:val="5A250E62"/>
    <w:rsid w:val="5A315A59"/>
    <w:rsid w:val="5A317807"/>
    <w:rsid w:val="5A355549"/>
    <w:rsid w:val="5A411F7D"/>
    <w:rsid w:val="5A6220B6"/>
    <w:rsid w:val="5A6545DD"/>
    <w:rsid w:val="5A6C4CE3"/>
    <w:rsid w:val="5A7616BE"/>
    <w:rsid w:val="5A785436"/>
    <w:rsid w:val="5A7C520F"/>
    <w:rsid w:val="5A7F67C4"/>
    <w:rsid w:val="5A845B89"/>
    <w:rsid w:val="5A851901"/>
    <w:rsid w:val="5A8E6A07"/>
    <w:rsid w:val="5A902780"/>
    <w:rsid w:val="5A995D31"/>
    <w:rsid w:val="5A9C2117"/>
    <w:rsid w:val="5A9E3DC0"/>
    <w:rsid w:val="5AAB75B9"/>
    <w:rsid w:val="5ABD5FC8"/>
    <w:rsid w:val="5ABD72ED"/>
    <w:rsid w:val="5AC266B1"/>
    <w:rsid w:val="5AF42587"/>
    <w:rsid w:val="5AF947C9"/>
    <w:rsid w:val="5B092532"/>
    <w:rsid w:val="5B0942E0"/>
    <w:rsid w:val="5B0B1E06"/>
    <w:rsid w:val="5B1213E7"/>
    <w:rsid w:val="5B1C04B7"/>
    <w:rsid w:val="5B242EC8"/>
    <w:rsid w:val="5B2829B8"/>
    <w:rsid w:val="5B3550D5"/>
    <w:rsid w:val="5B361EF0"/>
    <w:rsid w:val="5B4E7D29"/>
    <w:rsid w:val="5B647768"/>
    <w:rsid w:val="5B694D7F"/>
    <w:rsid w:val="5B6F6839"/>
    <w:rsid w:val="5B70610D"/>
    <w:rsid w:val="5B726329"/>
    <w:rsid w:val="5B7A6F8C"/>
    <w:rsid w:val="5B7E082A"/>
    <w:rsid w:val="5B81031A"/>
    <w:rsid w:val="5B8F4120"/>
    <w:rsid w:val="5B9444F1"/>
    <w:rsid w:val="5B962018"/>
    <w:rsid w:val="5BA02E96"/>
    <w:rsid w:val="5BA21C98"/>
    <w:rsid w:val="5BB57FC4"/>
    <w:rsid w:val="5BD40D92"/>
    <w:rsid w:val="5BE018CB"/>
    <w:rsid w:val="5BE32D83"/>
    <w:rsid w:val="5BF35C1D"/>
    <w:rsid w:val="5BF705DC"/>
    <w:rsid w:val="5BFE196B"/>
    <w:rsid w:val="5C11169E"/>
    <w:rsid w:val="5C1178F0"/>
    <w:rsid w:val="5C2313D1"/>
    <w:rsid w:val="5C2632F7"/>
    <w:rsid w:val="5C2C0286"/>
    <w:rsid w:val="5C384E7D"/>
    <w:rsid w:val="5C441A74"/>
    <w:rsid w:val="5C563555"/>
    <w:rsid w:val="5C58551F"/>
    <w:rsid w:val="5C5859F2"/>
    <w:rsid w:val="5C741C2D"/>
    <w:rsid w:val="5C7467F2"/>
    <w:rsid w:val="5C7834CB"/>
    <w:rsid w:val="5C7A36E7"/>
    <w:rsid w:val="5C910A31"/>
    <w:rsid w:val="5C985170"/>
    <w:rsid w:val="5C9C18B0"/>
    <w:rsid w:val="5CAC586B"/>
    <w:rsid w:val="5CB14C2F"/>
    <w:rsid w:val="5CB70498"/>
    <w:rsid w:val="5CB85D2B"/>
    <w:rsid w:val="5CD10E2D"/>
    <w:rsid w:val="5CE26B6F"/>
    <w:rsid w:val="5CF3349A"/>
    <w:rsid w:val="5CF36FF6"/>
    <w:rsid w:val="5D030AF9"/>
    <w:rsid w:val="5D101956"/>
    <w:rsid w:val="5D234068"/>
    <w:rsid w:val="5D26561D"/>
    <w:rsid w:val="5D331AE8"/>
    <w:rsid w:val="5D3E2967"/>
    <w:rsid w:val="5D596638"/>
    <w:rsid w:val="5D700646"/>
    <w:rsid w:val="5D71758D"/>
    <w:rsid w:val="5D731EE5"/>
    <w:rsid w:val="5D8440F2"/>
    <w:rsid w:val="5D850596"/>
    <w:rsid w:val="5D8D11F8"/>
    <w:rsid w:val="5D9500AD"/>
    <w:rsid w:val="5D9562FF"/>
    <w:rsid w:val="5D972077"/>
    <w:rsid w:val="5D9F2CDA"/>
    <w:rsid w:val="5DA41F3E"/>
    <w:rsid w:val="5DA54794"/>
    <w:rsid w:val="5DB01FCD"/>
    <w:rsid w:val="5DC15346"/>
    <w:rsid w:val="5DCA5FA9"/>
    <w:rsid w:val="5DCD7847"/>
    <w:rsid w:val="5DDD3DBA"/>
    <w:rsid w:val="5DEA21A7"/>
    <w:rsid w:val="5DF9688E"/>
    <w:rsid w:val="5E0019CA"/>
    <w:rsid w:val="5E024645"/>
    <w:rsid w:val="5E162F9C"/>
    <w:rsid w:val="5E2C7C9A"/>
    <w:rsid w:val="5E2F405E"/>
    <w:rsid w:val="5E453881"/>
    <w:rsid w:val="5E563CE0"/>
    <w:rsid w:val="5E654E72"/>
    <w:rsid w:val="5E6C7060"/>
    <w:rsid w:val="5E761C8C"/>
    <w:rsid w:val="5E824AD5"/>
    <w:rsid w:val="5E8343A9"/>
    <w:rsid w:val="5E8B1BDC"/>
    <w:rsid w:val="5E8C5954"/>
    <w:rsid w:val="5E8C7702"/>
    <w:rsid w:val="5E8E347A"/>
    <w:rsid w:val="5E9A1E1F"/>
    <w:rsid w:val="5E9E414D"/>
    <w:rsid w:val="5EA860B5"/>
    <w:rsid w:val="5EB26A6B"/>
    <w:rsid w:val="5EB50A07"/>
    <w:rsid w:val="5EB9022B"/>
    <w:rsid w:val="5EBB3B43"/>
    <w:rsid w:val="5EBB7FE7"/>
    <w:rsid w:val="5EDE1337"/>
    <w:rsid w:val="5EEC21EB"/>
    <w:rsid w:val="5EEE3F19"/>
    <w:rsid w:val="5EFC4888"/>
    <w:rsid w:val="5F02055B"/>
    <w:rsid w:val="5F025C16"/>
    <w:rsid w:val="5F053010"/>
    <w:rsid w:val="5F172606"/>
    <w:rsid w:val="5F216516"/>
    <w:rsid w:val="5F2711D9"/>
    <w:rsid w:val="5F2C14BF"/>
    <w:rsid w:val="5F32465D"/>
    <w:rsid w:val="5F530220"/>
    <w:rsid w:val="5F5C70D4"/>
    <w:rsid w:val="5F692B8D"/>
    <w:rsid w:val="5F920D48"/>
    <w:rsid w:val="5FAC718D"/>
    <w:rsid w:val="5FBB14AD"/>
    <w:rsid w:val="5FBC5DC5"/>
    <w:rsid w:val="5FC627A0"/>
    <w:rsid w:val="5FE1582B"/>
    <w:rsid w:val="5FE5356E"/>
    <w:rsid w:val="5FEC48FC"/>
    <w:rsid w:val="5FF13CC0"/>
    <w:rsid w:val="5FFE2B26"/>
    <w:rsid w:val="6019120F"/>
    <w:rsid w:val="60196D73"/>
    <w:rsid w:val="601B2AEB"/>
    <w:rsid w:val="60237BF2"/>
    <w:rsid w:val="602C4CF9"/>
    <w:rsid w:val="60367925"/>
    <w:rsid w:val="60433DF0"/>
    <w:rsid w:val="604F09E7"/>
    <w:rsid w:val="6051475F"/>
    <w:rsid w:val="6051650D"/>
    <w:rsid w:val="605424A1"/>
    <w:rsid w:val="605E2968"/>
    <w:rsid w:val="608E78BF"/>
    <w:rsid w:val="60BD0047"/>
    <w:rsid w:val="60DB227B"/>
    <w:rsid w:val="60E125F2"/>
    <w:rsid w:val="60E90E3C"/>
    <w:rsid w:val="60F63558"/>
    <w:rsid w:val="61001CE1"/>
    <w:rsid w:val="61023CAB"/>
    <w:rsid w:val="61085FF6"/>
    <w:rsid w:val="610E43FE"/>
    <w:rsid w:val="611B4D6D"/>
    <w:rsid w:val="612260FC"/>
    <w:rsid w:val="61265BEC"/>
    <w:rsid w:val="612956DC"/>
    <w:rsid w:val="61306A6A"/>
    <w:rsid w:val="61355E2F"/>
    <w:rsid w:val="613C6465"/>
    <w:rsid w:val="614E6558"/>
    <w:rsid w:val="615A7643"/>
    <w:rsid w:val="61630BEE"/>
    <w:rsid w:val="61671D60"/>
    <w:rsid w:val="61693D2A"/>
    <w:rsid w:val="61750921"/>
    <w:rsid w:val="617A1A94"/>
    <w:rsid w:val="617C1CB0"/>
    <w:rsid w:val="61840B64"/>
    <w:rsid w:val="618928AC"/>
    <w:rsid w:val="618E0057"/>
    <w:rsid w:val="61B56F70"/>
    <w:rsid w:val="61D2406B"/>
    <w:rsid w:val="61D76EE6"/>
    <w:rsid w:val="61E82EA1"/>
    <w:rsid w:val="61F5736C"/>
    <w:rsid w:val="61F93300"/>
    <w:rsid w:val="6213693F"/>
    <w:rsid w:val="62214BCD"/>
    <w:rsid w:val="622163B3"/>
    <w:rsid w:val="623205C0"/>
    <w:rsid w:val="623E0D13"/>
    <w:rsid w:val="62540537"/>
    <w:rsid w:val="62683749"/>
    <w:rsid w:val="626A1B08"/>
    <w:rsid w:val="626F5AE1"/>
    <w:rsid w:val="628C5F22"/>
    <w:rsid w:val="628C7CD0"/>
    <w:rsid w:val="62922E0D"/>
    <w:rsid w:val="629D3C8C"/>
    <w:rsid w:val="62C21944"/>
    <w:rsid w:val="62D6719E"/>
    <w:rsid w:val="62E824DB"/>
    <w:rsid w:val="62F66167"/>
    <w:rsid w:val="630C2BBF"/>
    <w:rsid w:val="630E06E5"/>
    <w:rsid w:val="630F445E"/>
    <w:rsid w:val="63116428"/>
    <w:rsid w:val="63136DCF"/>
    <w:rsid w:val="63310878"/>
    <w:rsid w:val="63387DA8"/>
    <w:rsid w:val="633D23D7"/>
    <w:rsid w:val="633F2F95"/>
    <w:rsid w:val="634B38FA"/>
    <w:rsid w:val="635067E6"/>
    <w:rsid w:val="63514A76"/>
    <w:rsid w:val="635D78BF"/>
    <w:rsid w:val="63715118"/>
    <w:rsid w:val="638C3D00"/>
    <w:rsid w:val="63A31776"/>
    <w:rsid w:val="63AB4186"/>
    <w:rsid w:val="63B42032"/>
    <w:rsid w:val="63C416EC"/>
    <w:rsid w:val="63CB4828"/>
    <w:rsid w:val="63CE60C7"/>
    <w:rsid w:val="63E1229E"/>
    <w:rsid w:val="63E63410"/>
    <w:rsid w:val="63EF49BB"/>
    <w:rsid w:val="63F43D7F"/>
    <w:rsid w:val="641C5084"/>
    <w:rsid w:val="64245BE0"/>
    <w:rsid w:val="64283058"/>
    <w:rsid w:val="642D7291"/>
    <w:rsid w:val="64356146"/>
    <w:rsid w:val="64371EBE"/>
    <w:rsid w:val="64526CF8"/>
    <w:rsid w:val="646B7DB9"/>
    <w:rsid w:val="646D58E0"/>
    <w:rsid w:val="646E0E9D"/>
    <w:rsid w:val="6472739A"/>
    <w:rsid w:val="64836EB1"/>
    <w:rsid w:val="64882719"/>
    <w:rsid w:val="64990483"/>
    <w:rsid w:val="649C7F73"/>
    <w:rsid w:val="64B96D77"/>
    <w:rsid w:val="64E8140A"/>
    <w:rsid w:val="64EF1BBB"/>
    <w:rsid w:val="64F8151B"/>
    <w:rsid w:val="64FD4EB5"/>
    <w:rsid w:val="65006754"/>
    <w:rsid w:val="6509385A"/>
    <w:rsid w:val="650E0E71"/>
    <w:rsid w:val="650F15E6"/>
    <w:rsid w:val="65273CE0"/>
    <w:rsid w:val="656C2F8E"/>
    <w:rsid w:val="656C3DE9"/>
    <w:rsid w:val="65715621"/>
    <w:rsid w:val="65803DCC"/>
    <w:rsid w:val="65817895"/>
    <w:rsid w:val="658904F7"/>
    <w:rsid w:val="6598698C"/>
    <w:rsid w:val="65A26328"/>
    <w:rsid w:val="65B512EC"/>
    <w:rsid w:val="65D2499B"/>
    <w:rsid w:val="65EB2F60"/>
    <w:rsid w:val="65EB7404"/>
    <w:rsid w:val="65F01CBF"/>
    <w:rsid w:val="660E4EA0"/>
    <w:rsid w:val="66171FA7"/>
    <w:rsid w:val="661A55F3"/>
    <w:rsid w:val="66236B9E"/>
    <w:rsid w:val="66275276"/>
    <w:rsid w:val="664803B2"/>
    <w:rsid w:val="664A412A"/>
    <w:rsid w:val="664B7EA3"/>
    <w:rsid w:val="664E4C93"/>
    <w:rsid w:val="66552ACF"/>
    <w:rsid w:val="666F593F"/>
    <w:rsid w:val="668E7922"/>
    <w:rsid w:val="669058B5"/>
    <w:rsid w:val="66A23F66"/>
    <w:rsid w:val="66B27F22"/>
    <w:rsid w:val="66CA0DC7"/>
    <w:rsid w:val="66CB2337"/>
    <w:rsid w:val="66CB4B3F"/>
    <w:rsid w:val="66DC6D4D"/>
    <w:rsid w:val="670267B3"/>
    <w:rsid w:val="6712451C"/>
    <w:rsid w:val="671D539B"/>
    <w:rsid w:val="6736645D"/>
    <w:rsid w:val="67386679"/>
    <w:rsid w:val="674C77A9"/>
    <w:rsid w:val="674F751F"/>
    <w:rsid w:val="675B5EC3"/>
    <w:rsid w:val="675D7E8D"/>
    <w:rsid w:val="675E59B4"/>
    <w:rsid w:val="67640F97"/>
    <w:rsid w:val="676B07FC"/>
    <w:rsid w:val="676C6322"/>
    <w:rsid w:val="67704ABD"/>
    <w:rsid w:val="67803B7C"/>
    <w:rsid w:val="678418BE"/>
    <w:rsid w:val="678E0047"/>
    <w:rsid w:val="67931B01"/>
    <w:rsid w:val="67A267D6"/>
    <w:rsid w:val="67A37BB7"/>
    <w:rsid w:val="67A71109"/>
    <w:rsid w:val="67B951BB"/>
    <w:rsid w:val="67E72797"/>
    <w:rsid w:val="67FF2CF3"/>
    <w:rsid w:val="6817003C"/>
    <w:rsid w:val="681C1AF7"/>
    <w:rsid w:val="68262975"/>
    <w:rsid w:val="682E35D8"/>
    <w:rsid w:val="683055A2"/>
    <w:rsid w:val="68442DFB"/>
    <w:rsid w:val="684626D0"/>
    <w:rsid w:val="684A6664"/>
    <w:rsid w:val="684D3A5E"/>
    <w:rsid w:val="685A4492"/>
    <w:rsid w:val="6865617D"/>
    <w:rsid w:val="68792AA5"/>
    <w:rsid w:val="68880F3A"/>
    <w:rsid w:val="68995692"/>
    <w:rsid w:val="689E250C"/>
    <w:rsid w:val="68C161FA"/>
    <w:rsid w:val="68C55CEA"/>
    <w:rsid w:val="68D75A1D"/>
    <w:rsid w:val="68DE4FFE"/>
    <w:rsid w:val="68E343C2"/>
    <w:rsid w:val="68EA5751"/>
    <w:rsid w:val="691E189E"/>
    <w:rsid w:val="692769A5"/>
    <w:rsid w:val="69362744"/>
    <w:rsid w:val="69392234"/>
    <w:rsid w:val="696574CD"/>
    <w:rsid w:val="6974326C"/>
    <w:rsid w:val="69872FA0"/>
    <w:rsid w:val="698F62F8"/>
    <w:rsid w:val="699A7177"/>
    <w:rsid w:val="69A43B52"/>
    <w:rsid w:val="69A55B1C"/>
    <w:rsid w:val="69AC0C58"/>
    <w:rsid w:val="69C77840"/>
    <w:rsid w:val="69DD0FBC"/>
    <w:rsid w:val="69DD3507"/>
    <w:rsid w:val="69E5416A"/>
    <w:rsid w:val="69F543AD"/>
    <w:rsid w:val="69FD3262"/>
    <w:rsid w:val="6A0C7949"/>
    <w:rsid w:val="6A2627B9"/>
    <w:rsid w:val="6A4B66C3"/>
    <w:rsid w:val="6A576E16"/>
    <w:rsid w:val="6A5C267E"/>
    <w:rsid w:val="6A5F5CCB"/>
    <w:rsid w:val="6A6F6242"/>
    <w:rsid w:val="6A771266"/>
    <w:rsid w:val="6A7A6FA8"/>
    <w:rsid w:val="6A8D6CDC"/>
    <w:rsid w:val="6A915A9D"/>
    <w:rsid w:val="6A9C2A7B"/>
    <w:rsid w:val="6AA638F9"/>
    <w:rsid w:val="6AA81420"/>
    <w:rsid w:val="6AB603E2"/>
    <w:rsid w:val="6AC5701B"/>
    <w:rsid w:val="6AC65D4A"/>
    <w:rsid w:val="6ACB3360"/>
    <w:rsid w:val="6AD55F8D"/>
    <w:rsid w:val="6AED777A"/>
    <w:rsid w:val="6AEF5FF8"/>
    <w:rsid w:val="6AFE1987"/>
    <w:rsid w:val="6B227ABF"/>
    <w:rsid w:val="6B421874"/>
    <w:rsid w:val="6B4849B1"/>
    <w:rsid w:val="6B5436EB"/>
    <w:rsid w:val="6B5C045C"/>
    <w:rsid w:val="6B6932A5"/>
    <w:rsid w:val="6B6D4417"/>
    <w:rsid w:val="6B7176EF"/>
    <w:rsid w:val="6B7A416A"/>
    <w:rsid w:val="6B8238C2"/>
    <w:rsid w:val="6B825AE5"/>
    <w:rsid w:val="6B827EC3"/>
    <w:rsid w:val="6B851761"/>
    <w:rsid w:val="6B8F0831"/>
    <w:rsid w:val="6BAD2A66"/>
    <w:rsid w:val="6BB12556"/>
    <w:rsid w:val="6BB86DB1"/>
    <w:rsid w:val="6BBD0EFB"/>
    <w:rsid w:val="6BBD1E1E"/>
    <w:rsid w:val="6BCA3618"/>
    <w:rsid w:val="6BE502BF"/>
    <w:rsid w:val="6BEC7A32"/>
    <w:rsid w:val="6BF16DF6"/>
    <w:rsid w:val="6C046B2A"/>
    <w:rsid w:val="6C0E79A8"/>
    <w:rsid w:val="6C14747E"/>
    <w:rsid w:val="6C2B055A"/>
    <w:rsid w:val="6C3A254B"/>
    <w:rsid w:val="6C3F4006"/>
    <w:rsid w:val="6C4038DA"/>
    <w:rsid w:val="6C411B2C"/>
    <w:rsid w:val="6C496C32"/>
    <w:rsid w:val="6C507FC1"/>
    <w:rsid w:val="6C537AB1"/>
    <w:rsid w:val="6C545C48"/>
    <w:rsid w:val="6C56138A"/>
    <w:rsid w:val="6C5C4BB7"/>
    <w:rsid w:val="6C5E0930"/>
    <w:rsid w:val="6C73617B"/>
    <w:rsid w:val="6C755C79"/>
    <w:rsid w:val="6C77554D"/>
    <w:rsid w:val="6C7A65F5"/>
    <w:rsid w:val="6C90660F"/>
    <w:rsid w:val="6C951E77"/>
    <w:rsid w:val="6C9F6852"/>
    <w:rsid w:val="6CB30550"/>
    <w:rsid w:val="6CC30793"/>
    <w:rsid w:val="6CC664D5"/>
    <w:rsid w:val="6CD871F4"/>
    <w:rsid w:val="6CDC3602"/>
    <w:rsid w:val="6CE626D3"/>
    <w:rsid w:val="6CF05300"/>
    <w:rsid w:val="6D0D7C60"/>
    <w:rsid w:val="6D154D66"/>
    <w:rsid w:val="6D301BA0"/>
    <w:rsid w:val="6D512242"/>
    <w:rsid w:val="6D594C53"/>
    <w:rsid w:val="6D5D3E8B"/>
    <w:rsid w:val="6D73042F"/>
    <w:rsid w:val="6D747CDF"/>
    <w:rsid w:val="6D82064E"/>
    <w:rsid w:val="6D851EEC"/>
    <w:rsid w:val="6D8600B5"/>
    <w:rsid w:val="6D8A305E"/>
    <w:rsid w:val="6D8A5754"/>
    <w:rsid w:val="6D943EDD"/>
    <w:rsid w:val="6D9914F3"/>
    <w:rsid w:val="6D9B34BE"/>
    <w:rsid w:val="6DA560EA"/>
    <w:rsid w:val="6DB628EA"/>
    <w:rsid w:val="6DBB590E"/>
    <w:rsid w:val="6DC42A14"/>
    <w:rsid w:val="6DC5053A"/>
    <w:rsid w:val="6DD52E4B"/>
    <w:rsid w:val="6DD8201C"/>
    <w:rsid w:val="6DE2733E"/>
    <w:rsid w:val="6DEA61F3"/>
    <w:rsid w:val="6DF82188"/>
    <w:rsid w:val="6DFE57FA"/>
    <w:rsid w:val="6E1D2124"/>
    <w:rsid w:val="6E1F40EF"/>
    <w:rsid w:val="6E4F36B7"/>
    <w:rsid w:val="6E5024FA"/>
    <w:rsid w:val="6E5518BE"/>
    <w:rsid w:val="6E602011"/>
    <w:rsid w:val="6E623FDB"/>
    <w:rsid w:val="6E6C09B6"/>
    <w:rsid w:val="6E7A7577"/>
    <w:rsid w:val="6E957F0D"/>
    <w:rsid w:val="6E9B76C6"/>
    <w:rsid w:val="6EA939B8"/>
    <w:rsid w:val="6EAF7D9D"/>
    <w:rsid w:val="6EB34837"/>
    <w:rsid w:val="6EB74F90"/>
    <w:rsid w:val="6EBD1212"/>
    <w:rsid w:val="6EC451B7"/>
    <w:rsid w:val="6EC66318"/>
    <w:rsid w:val="6ED749C9"/>
    <w:rsid w:val="6EDA6DB9"/>
    <w:rsid w:val="6EDC1FE0"/>
    <w:rsid w:val="6F0137F4"/>
    <w:rsid w:val="6F1E43A6"/>
    <w:rsid w:val="6F280D81"/>
    <w:rsid w:val="6F307C36"/>
    <w:rsid w:val="6F343BCA"/>
    <w:rsid w:val="6F377216"/>
    <w:rsid w:val="6F413BF1"/>
    <w:rsid w:val="6F563010"/>
    <w:rsid w:val="6F5E29F5"/>
    <w:rsid w:val="6F616041"/>
    <w:rsid w:val="6F6A3147"/>
    <w:rsid w:val="6F7264A0"/>
    <w:rsid w:val="6F865AA7"/>
    <w:rsid w:val="6F8753D6"/>
    <w:rsid w:val="6F887A72"/>
    <w:rsid w:val="6F8F0E00"/>
    <w:rsid w:val="6F9B1553"/>
    <w:rsid w:val="6FA348AB"/>
    <w:rsid w:val="6FA75CB0"/>
    <w:rsid w:val="6FB72105"/>
    <w:rsid w:val="6FBE7937"/>
    <w:rsid w:val="6FC35E69"/>
    <w:rsid w:val="6FC50CC6"/>
    <w:rsid w:val="6FD26F3F"/>
    <w:rsid w:val="6FE4739E"/>
    <w:rsid w:val="7004359C"/>
    <w:rsid w:val="70076BE8"/>
    <w:rsid w:val="70311EB7"/>
    <w:rsid w:val="705B0CE2"/>
    <w:rsid w:val="7063058C"/>
    <w:rsid w:val="706E4EB9"/>
    <w:rsid w:val="70710506"/>
    <w:rsid w:val="70837CBA"/>
    <w:rsid w:val="70893AA1"/>
    <w:rsid w:val="708B453E"/>
    <w:rsid w:val="708C533F"/>
    <w:rsid w:val="709F32C5"/>
    <w:rsid w:val="70A00DEB"/>
    <w:rsid w:val="70A66401"/>
    <w:rsid w:val="70B07280"/>
    <w:rsid w:val="70B7060E"/>
    <w:rsid w:val="70B72947"/>
    <w:rsid w:val="70B825D8"/>
    <w:rsid w:val="70BC3E77"/>
    <w:rsid w:val="70BD7BEF"/>
    <w:rsid w:val="70C25205"/>
    <w:rsid w:val="70C745CA"/>
    <w:rsid w:val="70D171F6"/>
    <w:rsid w:val="70D72A5F"/>
    <w:rsid w:val="70E46F2A"/>
    <w:rsid w:val="70E76A1A"/>
    <w:rsid w:val="70ED2282"/>
    <w:rsid w:val="70FE448F"/>
    <w:rsid w:val="710A0541"/>
    <w:rsid w:val="71107D1F"/>
    <w:rsid w:val="71116E10"/>
    <w:rsid w:val="71184E25"/>
    <w:rsid w:val="711F7F62"/>
    <w:rsid w:val="71325EE7"/>
    <w:rsid w:val="71381023"/>
    <w:rsid w:val="713A123F"/>
    <w:rsid w:val="714125CE"/>
    <w:rsid w:val="71542301"/>
    <w:rsid w:val="716B4379"/>
    <w:rsid w:val="717A163C"/>
    <w:rsid w:val="7183350A"/>
    <w:rsid w:val="718A5D23"/>
    <w:rsid w:val="718E2DF9"/>
    <w:rsid w:val="71922E29"/>
    <w:rsid w:val="719612C3"/>
    <w:rsid w:val="71AB5C99"/>
    <w:rsid w:val="71CB0748"/>
    <w:rsid w:val="71D76A8E"/>
    <w:rsid w:val="721455EC"/>
    <w:rsid w:val="724D7188"/>
    <w:rsid w:val="72516841"/>
    <w:rsid w:val="726447C6"/>
    <w:rsid w:val="72665DB0"/>
    <w:rsid w:val="72785B7B"/>
    <w:rsid w:val="727B38BE"/>
    <w:rsid w:val="72802C82"/>
    <w:rsid w:val="728B55EF"/>
    <w:rsid w:val="72907369"/>
    <w:rsid w:val="72920834"/>
    <w:rsid w:val="72930C07"/>
    <w:rsid w:val="72BB3CBA"/>
    <w:rsid w:val="72BC63B0"/>
    <w:rsid w:val="72C15774"/>
    <w:rsid w:val="72C54991"/>
    <w:rsid w:val="72C94629"/>
    <w:rsid w:val="72DF209E"/>
    <w:rsid w:val="72FF629D"/>
    <w:rsid w:val="730415E4"/>
    <w:rsid w:val="73041B05"/>
    <w:rsid w:val="730438B3"/>
    <w:rsid w:val="73045661"/>
    <w:rsid w:val="73076EFF"/>
    <w:rsid w:val="73125FD0"/>
    <w:rsid w:val="731E2BC7"/>
    <w:rsid w:val="73216213"/>
    <w:rsid w:val="73263829"/>
    <w:rsid w:val="733364BA"/>
    <w:rsid w:val="733D0B73"/>
    <w:rsid w:val="7346211D"/>
    <w:rsid w:val="734E2D80"/>
    <w:rsid w:val="7352461E"/>
    <w:rsid w:val="736507F6"/>
    <w:rsid w:val="73691968"/>
    <w:rsid w:val="73771E8A"/>
    <w:rsid w:val="73806C9B"/>
    <w:rsid w:val="7385650C"/>
    <w:rsid w:val="738F5872"/>
    <w:rsid w:val="73970283"/>
    <w:rsid w:val="73AC26D2"/>
    <w:rsid w:val="73AD5CF9"/>
    <w:rsid w:val="73C372CA"/>
    <w:rsid w:val="73C60B68"/>
    <w:rsid w:val="73CD0149"/>
    <w:rsid w:val="73F75184"/>
    <w:rsid w:val="74055B35"/>
    <w:rsid w:val="740D2C3B"/>
    <w:rsid w:val="74123DAE"/>
    <w:rsid w:val="742D0BE7"/>
    <w:rsid w:val="74343D24"/>
    <w:rsid w:val="74365CEE"/>
    <w:rsid w:val="743B1556"/>
    <w:rsid w:val="743E1047"/>
    <w:rsid w:val="74455F31"/>
    <w:rsid w:val="745148D6"/>
    <w:rsid w:val="7463285B"/>
    <w:rsid w:val="74640AAD"/>
    <w:rsid w:val="74670974"/>
    <w:rsid w:val="746C0AE1"/>
    <w:rsid w:val="747405C4"/>
    <w:rsid w:val="747616A0"/>
    <w:rsid w:val="747D391D"/>
    <w:rsid w:val="747D56CB"/>
    <w:rsid w:val="74842EFD"/>
    <w:rsid w:val="74844CAB"/>
    <w:rsid w:val="749649DF"/>
    <w:rsid w:val="749B3DA3"/>
    <w:rsid w:val="74A964C0"/>
    <w:rsid w:val="74AE0535"/>
    <w:rsid w:val="74B54916"/>
    <w:rsid w:val="74C72DEA"/>
    <w:rsid w:val="74D64709"/>
    <w:rsid w:val="74E53270"/>
    <w:rsid w:val="74F05E49"/>
    <w:rsid w:val="74F6722B"/>
    <w:rsid w:val="74FD4A5E"/>
    <w:rsid w:val="7507768A"/>
    <w:rsid w:val="75175B20"/>
    <w:rsid w:val="751A116C"/>
    <w:rsid w:val="75267B11"/>
    <w:rsid w:val="75295853"/>
    <w:rsid w:val="752D5343"/>
    <w:rsid w:val="75387844"/>
    <w:rsid w:val="753C7334"/>
    <w:rsid w:val="753D12FE"/>
    <w:rsid w:val="7542589A"/>
    <w:rsid w:val="754B57C9"/>
    <w:rsid w:val="755773C0"/>
    <w:rsid w:val="75610B49"/>
    <w:rsid w:val="75680129"/>
    <w:rsid w:val="757D16FB"/>
    <w:rsid w:val="758331B5"/>
    <w:rsid w:val="758D7B90"/>
    <w:rsid w:val="759A22AD"/>
    <w:rsid w:val="75A60C51"/>
    <w:rsid w:val="75AE7B06"/>
    <w:rsid w:val="75B07D22"/>
    <w:rsid w:val="75B570E6"/>
    <w:rsid w:val="75B934B0"/>
    <w:rsid w:val="75BE5F9B"/>
    <w:rsid w:val="75BF1D13"/>
    <w:rsid w:val="75D849F2"/>
    <w:rsid w:val="75F0011F"/>
    <w:rsid w:val="75FE283B"/>
    <w:rsid w:val="76085468"/>
    <w:rsid w:val="760B4F58"/>
    <w:rsid w:val="7610431D"/>
    <w:rsid w:val="761402B1"/>
    <w:rsid w:val="76143E0D"/>
    <w:rsid w:val="761B33ED"/>
    <w:rsid w:val="761F1125"/>
    <w:rsid w:val="7625426C"/>
    <w:rsid w:val="762D4ECF"/>
    <w:rsid w:val="76411BCB"/>
    <w:rsid w:val="76470B6D"/>
    <w:rsid w:val="76607052"/>
    <w:rsid w:val="766A7ED1"/>
    <w:rsid w:val="766F2A2F"/>
    <w:rsid w:val="76726D86"/>
    <w:rsid w:val="76790114"/>
    <w:rsid w:val="7682521B"/>
    <w:rsid w:val="76852F5D"/>
    <w:rsid w:val="76A21419"/>
    <w:rsid w:val="76A5715B"/>
    <w:rsid w:val="76B61368"/>
    <w:rsid w:val="76D96E05"/>
    <w:rsid w:val="76F65C09"/>
    <w:rsid w:val="76FA59A3"/>
    <w:rsid w:val="76FD2AF3"/>
    <w:rsid w:val="770727E7"/>
    <w:rsid w:val="77152683"/>
    <w:rsid w:val="77293101"/>
    <w:rsid w:val="773724A9"/>
    <w:rsid w:val="773B361B"/>
    <w:rsid w:val="773C7ABF"/>
    <w:rsid w:val="77456248"/>
    <w:rsid w:val="774E77F3"/>
    <w:rsid w:val="77613082"/>
    <w:rsid w:val="77642B72"/>
    <w:rsid w:val="7769462C"/>
    <w:rsid w:val="776D5150"/>
    <w:rsid w:val="777059BB"/>
    <w:rsid w:val="77730590"/>
    <w:rsid w:val="778356EE"/>
    <w:rsid w:val="77854DAE"/>
    <w:rsid w:val="778B6351"/>
    <w:rsid w:val="77923D49"/>
    <w:rsid w:val="77955421"/>
    <w:rsid w:val="77A53CBB"/>
    <w:rsid w:val="77A57025"/>
    <w:rsid w:val="77B34A04"/>
    <w:rsid w:val="77BA09E4"/>
    <w:rsid w:val="77BD2282"/>
    <w:rsid w:val="77D93560"/>
    <w:rsid w:val="77EC2986"/>
    <w:rsid w:val="77ED700C"/>
    <w:rsid w:val="77EE068E"/>
    <w:rsid w:val="78104AA8"/>
    <w:rsid w:val="78144598"/>
    <w:rsid w:val="781C3310"/>
    <w:rsid w:val="781C344D"/>
    <w:rsid w:val="782F4415"/>
    <w:rsid w:val="78482494"/>
    <w:rsid w:val="784D7AAA"/>
    <w:rsid w:val="784F3822"/>
    <w:rsid w:val="784F737E"/>
    <w:rsid w:val="7866291A"/>
    <w:rsid w:val="786D5A56"/>
    <w:rsid w:val="78782D79"/>
    <w:rsid w:val="78915BE9"/>
    <w:rsid w:val="789C633C"/>
    <w:rsid w:val="78A00C86"/>
    <w:rsid w:val="78AA0A59"/>
    <w:rsid w:val="78B813C8"/>
    <w:rsid w:val="78C0027C"/>
    <w:rsid w:val="78DB2A6E"/>
    <w:rsid w:val="78E0447A"/>
    <w:rsid w:val="78F47F26"/>
    <w:rsid w:val="78F528F6"/>
    <w:rsid w:val="790C1713"/>
    <w:rsid w:val="79167E9C"/>
    <w:rsid w:val="79386064"/>
    <w:rsid w:val="793D235B"/>
    <w:rsid w:val="793F1C5B"/>
    <w:rsid w:val="7940316B"/>
    <w:rsid w:val="79404F19"/>
    <w:rsid w:val="794C38BE"/>
    <w:rsid w:val="795E521D"/>
    <w:rsid w:val="796B468C"/>
    <w:rsid w:val="797D43BF"/>
    <w:rsid w:val="79860C21"/>
    <w:rsid w:val="798F3FA2"/>
    <w:rsid w:val="799A0ACD"/>
    <w:rsid w:val="79AE5130"/>
    <w:rsid w:val="79B06543"/>
    <w:rsid w:val="79B778D1"/>
    <w:rsid w:val="79BD47BC"/>
    <w:rsid w:val="79C21DD2"/>
    <w:rsid w:val="79C45B4A"/>
    <w:rsid w:val="79C93D1C"/>
    <w:rsid w:val="79D00993"/>
    <w:rsid w:val="79DF4732"/>
    <w:rsid w:val="79E63D12"/>
    <w:rsid w:val="79EB757B"/>
    <w:rsid w:val="79ED6E4F"/>
    <w:rsid w:val="79F04B91"/>
    <w:rsid w:val="7A0348C4"/>
    <w:rsid w:val="7A1F0FD2"/>
    <w:rsid w:val="7A2860D9"/>
    <w:rsid w:val="7A2B7977"/>
    <w:rsid w:val="7A4D3D91"/>
    <w:rsid w:val="7A4D5B40"/>
    <w:rsid w:val="7A5E1AFB"/>
    <w:rsid w:val="7A6D4434"/>
    <w:rsid w:val="7A7E3F4B"/>
    <w:rsid w:val="7A884DCA"/>
    <w:rsid w:val="7A94551C"/>
    <w:rsid w:val="7A97500D"/>
    <w:rsid w:val="7A9E435D"/>
    <w:rsid w:val="7AB7745D"/>
    <w:rsid w:val="7AB94F83"/>
    <w:rsid w:val="7ABD2CC5"/>
    <w:rsid w:val="7AC027B5"/>
    <w:rsid w:val="7AC673A6"/>
    <w:rsid w:val="7AD85D51"/>
    <w:rsid w:val="7AE069B4"/>
    <w:rsid w:val="7AE2272C"/>
    <w:rsid w:val="7AF4420D"/>
    <w:rsid w:val="7B02692A"/>
    <w:rsid w:val="7B0F54EB"/>
    <w:rsid w:val="7B152B01"/>
    <w:rsid w:val="7B2544AC"/>
    <w:rsid w:val="7B2965AD"/>
    <w:rsid w:val="7B2E771F"/>
    <w:rsid w:val="7B2F3497"/>
    <w:rsid w:val="7B3867F0"/>
    <w:rsid w:val="7B4740E5"/>
    <w:rsid w:val="7B51165F"/>
    <w:rsid w:val="7B641393"/>
    <w:rsid w:val="7B65510B"/>
    <w:rsid w:val="7B6A2721"/>
    <w:rsid w:val="7B705F89"/>
    <w:rsid w:val="7B715FA0"/>
    <w:rsid w:val="7B890DF9"/>
    <w:rsid w:val="7B902188"/>
    <w:rsid w:val="7BA07EF1"/>
    <w:rsid w:val="7BA16619"/>
    <w:rsid w:val="7BA45C33"/>
    <w:rsid w:val="7BA63759"/>
    <w:rsid w:val="7BB32E10"/>
    <w:rsid w:val="7BC40083"/>
    <w:rsid w:val="7BCC0CE6"/>
    <w:rsid w:val="7BD04C7A"/>
    <w:rsid w:val="7BD61B65"/>
    <w:rsid w:val="7BD80369"/>
    <w:rsid w:val="7BE73D72"/>
    <w:rsid w:val="7BF30969"/>
    <w:rsid w:val="7BFF730D"/>
    <w:rsid w:val="7C0861C2"/>
    <w:rsid w:val="7C094E31"/>
    <w:rsid w:val="7C0B3F04"/>
    <w:rsid w:val="7C0D5834"/>
    <w:rsid w:val="7C136915"/>
    <w:rsid w:val="7C176405"/>
    <w:rsid w:val="7C683105"/>
    <w:rsid w:val="7C705B15"/>
    <w:rsid w:val="7C8617DD"/>
    <w:rsid w:val="7C9E08D4"/>
    <w:rsid w:val="7C9F63FA"/>
    <w:rsid w:val="7CA0464C"/>
    <w:rsid w:val="7CA83501"/>
    <w:rsid w:val="7CBB7355"/>
    <w:rsid w:val="7CBE2697"/>
    <w:rsid w:val="7CBE4AD3"/>
    <w:rsid w:val="7CCB71F0"/>
    <w:rsid w:val="7CCD217F"/>
    <w:rsid w:val="7CD51E1C"/>
    <w:rsid w:val="7CDE33C7"/>
    <w:rsid w:val="7CE026C4"/>
    <w:rsid w:val="7CE02C9B"/>
    <w:rsid w:val="7CF84488"/>
    <w:rsid w:val="7CF93D5D"/>
    <w:rsid w:val="7CFB5D27"/>
    <w:rsid w:val="7D1D3EEF"/>
    <w:rsid w:val="7D252DA4"/>
    <w:rsid w:val="7D33726F"/>
    <w:rsid w:val="7D5F665D"/>
    <w:rsid w:val="7D686FB4"/>
    <w:rsid w:val="7D9D0B8C"/>
    <w:rsid w:val="7DC252A0"/>
    <w:rsid w:val="7DDA593C"/>
    <w:rsid w:val="7DE107F3"/>
    <w:rsid w:val="7DE642E1"/>
    <w:rsid w:val="7DFC3B04"/>
    <w:rsid w:val="7E032F62"/>
    <w:rsid w:val="7E096221"/>
    <w:rsid w:val="7E135A11"/>
    <w:rsid w:val="7E16190C"/>
    <w:rsid w:val="7E272B13"/>
    <w:rsid w:val="7E3314F0"/>
    <w:rsid w:val="7E372D8F"/>
    <w:rsid w:val="7E435BD1"/>
    <w:rsid w:val="7E4454AB"/>
    <w:rsid w:val="7E573431"/>
    <w:rsid w:val="7E5E47BF"/>
    <w:rsid w:val="7E5F4093"/>
    <w:rsid w:val="7E74391E"/>
    <w:rsid w:val="7E7F7128"/>
    <w:rsid w:val="7EC64112"/>
    <w:rsid w:val="7EC9775F"/>
    <w:rsid w:val="7ED30767"/>
    <w:rsid w:val="7EDE145C"/>
    <w:rsid w:val="7EEE7A0A"/>
    <w:rsid w:val="7F054C3B"/>
    <w:rsid w:val="7F1C4AFC"/>
    <w:rsid w:val="7F2F7F0A"/>
    <w:rsid w:val="7F460DAF"/>
    <w:rsid w:val="7F4953FC"/>
    <w:rsid w:val="7F565496"/>
    <w:rsid w:val="7F671451"/>
    <w:rsid w:val="7F675C96"/>
    <w:rsid w:val="7F6F0306"/>
    <w:rsid w:val="7F792F33"/>
    <w:rsid w:val="7FD840FD"/>
    <w:rsid w:val="7FDD1714"/>
    <w:rsid w:val="7FE707E4"/>
    <w:rsid w:val="7FFD1DB6"/>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4"/>
    <w:autoRedefine/>
    <w:qFormat/>
    <w:uiPriority w:val="99"/>
    <w:pPr>
      <w:keepNext/>
      <w:keepLines/>
      <w:spacing w:before="340" w:after="330" w:line="578" w:lineRule="auto"/>
      <w:outlineLvl w:val="0"/>
    </w:pPr>
    <w:rPr>
      <w:b/>
      <w:bCs/>
      <w:kern w:val="44"/>
      <w:sz w:val="44"/>
      <w:szCs w:val="44"/>
    </w:rPr>
  </w:style>
  <w:style w:type="paragraph" w:styleId="3">
    <w:name w:val="heading 3"/>
    <w:basedOn w:val="1"/>
    <w:next w:val="1"/>
    <w:link w:val="25"/>
    <w:autoRedefine/>
    <w:qFormat/>
    <w:uiPriority w:val="99"/>
    <w:pPr>
      <w:keepNext/>
      <w:keepLines/>
      <w:spacing w:before="260" w:after="260" w:line="416" w:lineRule="auto"/>
      <w:outlineLvl w:val="2"/>
    </w:pPr>
    <w:rPr>
      <w:b/>
      <w:bCs/>
      <w:sz w:val="32"/>
      <w:szCs w:val="32"/>
    </w:rPr>
  </w:style>
  <w:style w:type="paragraph" w:styleId="4">
    <w:name w:val="heading 4"/>
    <w:basedOn w:val="1"/>
    <w:next w:val="1"/>
    <w:semiHidden/>
    <w:unhideWhenUsed/>
    <w:qFormat/>
    <w:locked/>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8">
    <w:name w:val="Default Paragraph Font"/>
    <w:semiHidden/>
    <w:unhideWhenUsed/>
    <w:qFormat/>
    <w:uiPriority w:val="1"/>
  </w:style>
  <w:style w:type="table" w:default="1" w:styleId="1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5">
    <w:name w:val="Document Map"/>
    <w:basedOn w:val="1"/>
    <w:link w:val="39"/>
    <w:autoRedefine/>
    <w:semiHidden/>
    <w:qFormat/>
    <w:uiPriority w:val="99"/>
    <w:pPr>
      <w:shd w:val="clear" w:color="auto" w:fill="000080"/>
    </w:pPr>
  </w:style>
  <w:style w:type="paragraph" w:styleId="6">
    <w:name w:val="annotation text"/>
    <w:basedOn w:val="1"/>
    <w:link w:val="40"/>
    <w:autoRedefine/>
    <w:unhideWhenUsed/>
    <w:qFormat/>
    <w:uiPriority w:val="0"/>
    <w:pPr>
      <w:jc w:val="left"/>
    </w:pPr>
  </w:style>
  <w:style w:type="paragraph" w:styleId="7">
    <w:name w:val="Body Text Indent"/>
    <w:basedOn w:val="1"/>
    <w:link w:val="31"/>
    <w:autoRedefine/>
    <w:qFormat/>
    <w:uiPriority w:val="99"/>
    <w:pPr>
      <w:spacing w:after="120"/>
      <w:ind w:left="420" w:leftChars="200"/>
    </w:pPr>
  </w:style>
  <w:style w:type="paragraph" w:styleId="8">
    <w:name w:val="Date"/>
    <w:basedOn w:val="1"/>
    <w:next w:val="1"/>
    <w:link w:val="43"/>
    <w:autoRedefine/>
    <w:semiHidden/>
    <w:unhideWhenUsed/>
    <w:qFormat/>
    <w:uiPriority w:val="99"/>
    <w:pPr>
      <w:ind w:left="100" w:leftChars="2500"/>
    </w:pPr>
  </w:style>
  <w:style w:type="paragraph" w:styleId="9">
    <w:name w:val="Balloon Text"/>
    <w:basedOn w:val="1"/>
    <w:link w:val="42"/>
    <w:autoRedefine/>
    <w:semiHidden/>
    <w:unhideWhenUsed/>
    <w:qFormat/>
    <w:uiPriority w:val="99"/>
    <w:rPr>
      <w:sz w:val="18"/>
      <w:szCs w:val="18"/>
    </w:rPr>
  </w:style>
  <w:style w:type="paragraph" w:styleId="10">
    <w:name w:val="footer"/>
    <w:basedOn w:val="1"/>
    <w:link w:val="28"/>
    <w:autoRedefine/>
    <w:qFormat/>
    <w:uiPriority w:val="99"/>
    <w:pPr>
      <w:tabs>
        <w:tab w:val="center" w:pos="4153"/>
        <w:tab w:val="right" w:pos="8306"/>
      </w:tabs>
      <w:snapToGrid w:val="0"/>
      <w:jc w:val="left"/>
    </w:pPr>
    <w:rPr>
      <w:sz w:val="18"/>
      <w:szCs w:val="18"/>
    </w:rPr>
  </w:style>
  <w:style w:type="paragraph" w:styleId="11">
    <w:name w:val="header"/>
    <w:basedOn w:val="1"/>
    <w:link w:val="27"/>
    <w:autoRedefine/>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autoRedefine/>
    <w:qFormat/>
    <w:locked/>
    <w:uiPriority w:val="39"/>
    <w:pPr>
      <w:widowControl/>
      <w:tabs>
        <w:tab w:val="right" w:leader="dot" w:pos="8296"/>
      </w:tabs>
      <w:spacing w:beforeLines="50" w:line="360" w:lineRule="auto"/>
      <w:jc w:val="left"/>
    </w:pPr>
    <w:rPr>
      <w:rFonts w:asciiTheme="minorEastAsia" w:hAnsiTheme="minorEastAsia" w:eastAsiaTheme="minorEastAsia" w:cstheme="minorBidi"/>
      <w:color w:val="000000" w:themeColor="text1"/>
      <w:kern w:val="0"/>
      <w:sz w:val="24"/>
      <w14:textFill>
        <w14:solidFill>
          <w14:schemeClr w14:val="tx1"/>
        </w14:solidFill>
      </w14:textFill>
    </w:rPr>
  </w:style>
  <w:style w:type="paragraph" w:styleId="13">
    <w:name w:val="Normal (Web)"/>
    <w:basedOn w:val="1"/>
    <w:semiHidden/>
    <w:unhideWhenUsed/>
    <w:qFormat/>
    <w:uiPriority w:val="99"/>
    <w:pPr>
      <w:spacing w:beforeAutospacing="1" w:afterAutospacing="1"/>
      <w:jc w:val="left"/>
    </w:pPr>
    <w:rPr>
      <w:kern w:val="0"/>
      <w:sz w:val="24"/>
    </w:rPr>
  </w:style>
  <w:style w:type="paragraph" w:styleId="14">
    <w:name w:val="Title"/>
    <w:basedOn w:val="1"/>
    <w:next w:val="1"/>
    <w:link w:val="26"/>
    <w:autoRedefine/>
    <w:qFormat/>
    <w:uiPriority w:val="99"/>
    <w:pPr>
      <w:spacing w:before="240" w:after="60"/>
      <w:jc w:val="center"/>
      <w:outlineLvl w:val="0"/>
    </w:pPr>
    <w:rPr>
      <w:rFonts w:ascii="Cambria" w:hAnsi="Cambria"/>
      <w:b/>
      <w:bCs/>
      <w:sz w:val="32"/>
      <w:szCs w:val="32"/>
    </w:rPr>
  </w:style>
  <w:style w:type="paragraph" w:styleId="15">
    <w:name w:val="annotation subject"/>
    <w:basedOn w:val="6"/>
    <w:next w:val="6"/>
    <w:link w:val="41"/>
    <w:autoRedefine/>
    <w:semiHidden/>
    <w:unhideWhenUsed/>
    <w:qFormat/>
    <w:uiPriority w:val="99"/>
    <w:rPr>
      <w:b/>
      <w:bCs/>
    </w:rPr>
  </w:style>
  <w:style w:type="table" w:styleId="17">
    <w:name w:val="Table Grid"/>
    <w:basedOn w:val="16"/>
    <w:autoRedefine/>
    <w:qFormat/>
    <w:locked/>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locked/>
    <w:uiPriority w:val="0"/>
    <w:rPr>
      <w:b/>
    </w:rPr>
  </w:style>
  <w:style w:type="character" w:styleId="20">
    <w:name w:val="page number"/>
    <w:basedOn w:val="18"/>
    <w:autoRedefine/>
    <w:unhideWhenUsed/>
    <w:qFormat/>
    <w:uiPriority w:val="99"/>
  </w:style>
  <w:style w:type="character" w:styleId="21">
    <w:name w:val="Emphasis"/>
    <w:basedOn w:val="18"/>
    <w:qFormat/>
    <w:locked/>
    <w:uiPriority w:val="0"/>
    <w:rPr>
      <w:i/>
    </w:rPr>
  </w:style>
  <w:style w:type="character" w:styleId="22">
    <w:name w:val="Hyperlink"/>
    <w:basedOn w:val="18"/>
    <w:autoRedefine/>
    <w:unhideWhenUsed/>
    <w:qFormat/>
    <w:uiPriority w:val="99"/>
    <w:rPr>
      <w:color w:val="0000FF" w:themeColor="hyperlink"/>
      <w:u w:val="single"/>
      <w14:textFill>
        <w14:solidFill>
          <w14:schemeClr w14:val="hlink"/>
        </w14:solidFill>
      </w14:textFill>
    </w:rPr>
  </w:style>
  <w:style w:type="character" w:styleId="23">
    <w:name w:val="annotation reference"/>
    <w:basedOn w:val="18"/>
    <w:autoRedefine/>
    <w:unhideWhenUsed/>
    <w:qFormat/>
    <w:uiPriority w:val="0"/>
    <w:rPr>
      <w:sz w:val="21"/>
      <w:szCs w:val="21"/>
    </w:rPr>
  </w:style>
  <w:style w:type="character" w:customStyle="1" w:styleId="24">
    <w:name w:val="标题 1 字符"/>
    <w:link w:val="2"/>
    <w:autoRedefine/>
    <w:qFormat/>
    <w:locked/>
    <w:uiPriority w:val="0"/>
    <w:rPr>
      <w:b/>
      <w:kern w:val="44"/>
      <w:sz w:val="44"/>
    </w:rPr>
  </w:style>
  <w:style w:type="character" w:customStyle="1" w:styleId="25">
    <w:name w:val="标题 3 字符"/>
    <w:link w:val="3"/>
    <w:autoRedefine/>
    <w:qFormat/>
    <w:locked/>
    <w:uiPriority w:val="0"/>
    <w:rPr>
      <w:b/>
      <w:kern w:val="2"/>
      <w:sz w:val="32"/>
    </w:rPr>
  </w:style>
  <w:style w:type="character" w:customStyle="1" w:styleId="26">
    <w:name w:val="标题 字符"/>
    <w:link w:val="14"/>
    <w:autoRedefine/>
    <w:qFormat/>
    <w:locked/>
    <w:uiPriority w:val="99"/>
    <w:rPr>
      <w:rFonts w:ascii="Cambria" w:hAnsi="Cambria"/>
      <w:b/>
      <w:kern w:val="2"/>
      <w:sz w:val="32"/>
    </w:rPr>
  </w:style>
  <w:style w:type="character" w:customStyle="1" w:styleId="27">
    <w:name w:val="页眉 字符"/>
    <w:link w:val="11"/>
    <w:autoRedefine/>
    <w:qFormat/>
    <w:locked/>
    <w:uiPriority w:val="99"/>
    <w:rPr>
      <w:kern w:val="2"/>
      <w:sz w:val="18"/>
    </w:rPr>
  </w:style>
  <w:style w:type="character" w:customStyle="1" w:styleId="28">
    <w:name w:val="页脚 字符"/>
    <w:link w:val="10"/>
    <w:autoRedefine/>
    <w:qFormat/>
    <w:locked/>
    <w:uiPriority w:val="99"/>
    <w:rPr>
      <w:kern w:val="2"/>
      <w:sz w:val="18"/>
    </w:rPr>
  </w:style>
  <w:style w:type="paragraph" w:customStyle="1" w:styleId="29">
    <w:name w:val="段"/>
    <w:link w:val="30"/>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30">
    <w:name w:val="段 Char"/>
    <w:link w:val="29"/>
    <w:autoRedefine/>
    <w:qFormat/>
    <w:locked/>
    <w:uiPriority w:val="0"/>
    <w:rPr>
      <w:rFonts w:ascii="宋体"/>
      <w:sz w:val="21"/>
    </w:rPr>
  </w:style>
  <w:style w:type="character" w:customStyle="1" w:styleId="31">
    <w:name w:val="正文文本缩进 字符"/>
    <w:link w:val="7"/>
    <w:autoRedefine/>
    <w:qFormat/>
    <w:locked/>
    <w:uiPriority w:val="99"/>
    <w:rPr>
      <w:kern w:val="2"/>
      <w:sz w:val="24"/>
    </w:rPr>
  </w:style>
  <w:style w:type="paragraph" w:customStyle="1" w:styleId="32">
    <w:name w:val="p0"/>
    <w:basedOn w:val="1"/>
    <w:autoRedefine/>
    <w:qFormat/>
    <w:uiPriority w:val="99"/>
    <w:pPr>
      <w:widowControl/>
    </w:pPr>
    <w:rPr>
      <w:rFonts w:ascii="仿宋_GB2312" w:hAnsi="宋体" w:eastAsia="仿宋_GB2312" w:cs="宋体"/>
      <w:spacing w:val="-4"/>
      <w:kern w:val="0"/>
      <w:sz w:val="32"/>
      <w:szCs w:val="32"/>
    </w:rPr>
  </w:style>
  <w:style w:type="paragraph" w:customStyle="1" w:styleId="33">
    <w:name w:val="一级条标题"/>
    <w:next w:val="1"/>
    <w:autoRedefine/>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customStyle="1" w:styleId="34">
    <w:name w:val="章标题"/>
    <w:next w:val="29"/>
    <w:autoRedefine/>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35">
    <w:name w:val="二级条标题"/>
    <w:basedOn w:val="33"/>
    <w:next w:val="1"/>
    <w:autoRedefine/>
    <w:qFormat/>
    <w:uiPriority w:val="0"/>
    <w:pPr>
      <w:numPr>
        <w:ilvl w:val="2"/>
      </w:numPr>
      <w:spacing w:before="50" w:after="50"/>
      <w:outlineLvl w:val="3"/>
    </w:pPr>
  </w:style>
  <w:style w:type="paragraph" w:customStyle="1" w:styleId="36">
    <w:name w:val="三级条标题"/>
    <w:basedOn w:val="35"/>
    <w:next w:val="29"/>
    <w:autoRedefine/>
    <w:qFormat/>
    <w:uiPriority w:val="0"/>
    <w:pPr>
      <w:numPr>
        <w:ilvl w:val="3"/>
      </w:numPr>
      <w:outlineLvl w:val="4"/>
    </w:pPr>
  </w:style>
  <w:style w:type="paragraph" w:customStyle="1" w:styleId="37">
    <w:name w:val="四级条标题"/>
    <w:basedOn w:val="36"/>
    <w:next w:val="29"/>
    <w:autoRedefine/>
    <w:qFormat/>
    <w:uiPriority w:val="0"/>
    <w:pPr>
      <w:numPr>
        <w:ilvl w:val="4"/>
      </w:numPr>
      <w:outlineLvl w:val="5"/>
    </w:pPr>
  </w:style>
  <w:style w:type="paragraph" w:customStyle="1" w:styleId="38">
    <w:name w:val="五级条标题"/>
    <w:basedOn w:val="37"/>
    <w:next w:val="29"/>
    <w:autoRedefine/>
    <w:qFormat/>
    <w:uiPriority w:val="0"/>
    <w:pPr>
      <w:numPr>
        <w:ilvl w:val="5"/>
      </w:numPr>
      <w:outlineLvl w:val="6"/>
    </w:pPr>
  </w:style>
  <w:style w:type="character" w:customStyle="1" w:styleId="39">
    <w:name w:val="文档结构图 字符"/>
    <w:link w:val="5"/>
    <w:autoRedefine/>
    <w:semiHidden/>
    <w:qFormat/>
    <w:locked/>
    <w:uiPriority w:val="99"/>
    <w:rPr>
      <w:sz w:val="2"/>
    </w:rPr>
  </w:style>
  <w:style w:type="character" w:customStyle="1" w:styleId="40">
    <w:name w:val="批注文字 字符"/>
    <w:basedOn w:val="18"/>
    <w:link w:val="6"/>
    <w:autoRedefine/>
    <w:qFormat/>
    <w:uiPriority w:val="0"/>
    <w:rPr>
      <w:kern w:val="2"/>
      <w:sz w:val="21"/>
      <w:szCs w:val="24"/>
    </w:rPr>
  </w:style>
  <w:style w:type="character" w:customStyle="1" w:styleId="41">
    <w:name w:val="批注主题 字符"/>
    <w:basedOn w:val="40"/>
    <w:link w:val="15"/>
    <w:autoRedefine/>
    <w:semiHidden/>
    <w:qFormat/>
    <w:uiPriority w:val="99"/>
    <w:rPr>
      <w:b/>
      <w:bCs/>
      <w:kern w:val="2"/>
      <w:sz w:val="21"/>
      <w:szCs w:val="24"/>
    </w:rPr>
  </w:style>
  <w:style w:type="character" w:customStyle="1" w:styleId="42">
    <w:name w:val="批注框文本 字符"/>
    <w:basedOn w:val="18"/>
    <w:link w:val="9"/>
    <w:autoRedefine/>
    <w:semiHidden/>
    <w:qFormat/>
    <w:uiPriority w:val="99"/>
    <w:rPr>
      <w:kern w:val="2"/>
      <w:sz w:val="18"/>
      <w:szCs w:val="18"/>
    </w:rPr>
  </w:style>
  <w:style w:type="character" w:customStyle="1" w:styleId="43">
    <w:name w:val="日期 字符"/>
    <w:basedOn w:val="18"/>
    <w:link w:val="8"/>
    <w:autoRedefine/>
    <w:semiHidden/>
    <w:qFormat/>
    <w:uiPriority w:val="99"/>
    <w:rPr>
      <w:kern w:val="2"/>
      <w:sz w:val="21"/>
      <w:szCs w:val="24"/>
    </w:rPr>
  </w:style>
  <w:style w:type="paragraph" w:styleId="44">
    <w:name w:val="List Paragraph"/>
    <w:basedOn w:val="1"/>
    <w:autoRedefine/>
    <w:qFormat/>
    <w:uiPriority w:val="34"/>
    <w:pPr>
      <w:ind w:firstLine="420" w:firstLineChars="200"/>
    </w:pPr>
  </w:style>
  <w:style w:type="paragraph" w:customStyle="1" w:styleId="45">
    <w:name w:val="Default"/>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46">
    <w:name w:val="修订1"/>
    <w:autoRedefine/>
    <w:hidden/>
    <w:semiHidden/>
    <w:qFormat/>
    <w:uiPriority w:val="99"/>
    <w:rPr>
      <w:rFonts w:ascii="Times New Roman" w:hAnsi="Times New Roman" w:eastAsia="宋体" w:cs="Times New Roman"/>
      <w:kern w:val="2"/>
      <w:sz w:val="21"/>
      <w:szCs w:val="24"/>
      <w:lang w:val="en-US" w:eastAsia="zh-CN" w:bidi="ar-SA"/>
    </w:rPr>
  </w:style>
  <w:style w:type="paragraph" w:customStyle="1" w:styleId="47">
    <w:name w:val="标准文件_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48">
    <w:name w:val="标准文件_二级无标题"/>
    <w:basedOn w:val="49"/>
    <w:autoRedefine/>
    <w:qFormat/>
    <w:uiPriority w:val="0"/>
    <w:pPr>
      <w:spacing w:beforeLines="0" w:afterLines="0"/>
      <w:outlineLvl w:val="9"/>
    </w:pPr>
    <w:rPr>
      <w:rFonts w:ascii="宋体" w:eastAsia="宋体"/>
    </w:rPr>
  </w:style>
  <w:style w:type="paragraph" w:customStyle="1" w:styleId="49">
    <w:name w:val="标准文件_二级条标题"/>
    <w:next w:val="47"/>
    <w:autoRedefine/>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50">
    <w:name w:val="标准文件_段 Char"/>
    <w:basedOn w:val="18"/>
    <w:qFormat/>
    <w:uiPriority w:val="0"/>
    <w:rPr>
      <w:rFonts w:hint="eastAsia" w:ascii="宋体" w:hAnsi="宋体" w:eastAsia="宋体" w:cs="宋体"/>
      <w:sz w:val="21"/>
    </w:rPr>
  </w:style>
  <w:style w:type="paragraph" w:customStyle="1" w:styleId="51">
    <w:name w:val="标准文件_一级条标题"/>
    <w:next w:val="47"/>
    <w:qFormat/>
    <w:uiPriority w:val="0"/>
    <w:pPr>
      <w:numPr>
        <w:ilvl w:val="2"/>
        <w:numId w:val="3"/>
      </w:numPr>
      <w:spacing w:before="50" w:beforeLines="50" w:after="50" w:afterLines="50"/>
      <w:jc w:val="both"/>
      <w:outlineLvl w:val="1"/>
    </w:pPr>
    <w:rPr>
      <w:rFonts w:hint="eastAsia" w:ascii="黑体" w:hAnsi="Times New Roman" w:eastAsia="黑体" w:cs="Times New Roman"/>
      <w:sz w:val="21"/>
      <w:lang w:val="en-US" w:eastAsia="zh-CN" w:bidi="ar-SA"/>
    </w:rPr>
  </w:style>
  <w:style w:type="paragraph" w:customStyle="1" w:styleId="52">
    <w:name w:val="修订2"/>
    <w:hidden/>
    <w:unhideWhenUsed/>
    <w:qFormat/>
    <w:uiPriority w:val="99"/>
    <w:rPr>
      <w:rFonts w:ascii="Times New Roman" w:hAnsi="Times New Roman" w:eastAsia="宋体" w:cs="Times New Roman"/>
      <w:kern w:val="2"/>
      <w:sz w:val="21"/>
      <w:szCs w:val="24"/>
      <w:lang w:val="en-US" w:eastAsia="zh-CN" w:bidi="ar-SA"/>
    </w:rPr>
  </w:style>
  <w:style w:type="paragraph" w:customStyle="1" w:styleId="53">
    <w:name w:val="修订3"/>
    <w:hidden/>
    <w:unhideWhenUsed/>
    <w:qFormat/>
    <w:uiPriority w:val="99"/>
    <w:rPr>
      <w:rFonts w:ascii="Times New Roman" w:hAnsi="Times New Roman" w:eastAsia="宋体" w:cs="Times New Roman"/>
      <w:kern w:val="2"/>
      <w:sz w:val="21"/>
      <w:szCs w:val="24"/>
      <w:lang w:val="en-US" w:eastAsia="zh-CN" w:bidi="ar-SA"/>
    </w:rPr>
  </w:style>
  <w:style w:type="paragraph" w:customStyle="1" w:styleId="54">
    <w:name w:val="修订4"/>
    <w:hidden/>
    <w:unhideWhenUsed/>
    <w:qFormat/>
    <w:uiPriority w:val="99"/>
    <w:rPr>
      <w:rFonts w:ascii="Times New Roman" w:hAnsi="Times New Roman" w:eastAsia="宋体" w:cs="Times New Roman"/>
      <w:kern w:val="2"/>
      <w:sz w:val="21"/>
      <w:szCs w:val="24"/>
      <w:lang w:val="en-US" w:eastAsia="zh-CN" w:bidi="ar-SA"/>
    </w:rPr>
  </w:style>
  <w:style w:type="paragraph" w:customStyle="1" w:styleId="55">
    <w:name w:val="修订5"/>
    <w:hidden/>
    <w:unhideWhenUsed/>
    <w:qFormat/>
    <w:uiPriority w:val="99"/>
    <w:rPr>
      <w:rFonts w:ascii="Times New Roman" w:hAnsi="Times New Roman" w:eastAsia="宋体" w:cs="Times New Roman"/>
      <w:kern w:val="2"/>
      <w:sz w:val="21"/>
      <w:szCs w:val="24"/>
      <w:lang w:val="en-US" w:eastAsia="zh-CN" w:bidi="ar-SA"/>
    </w:rPr>
  </w:style>
  <w:style w:type="paragraph" w:customStyle="1" w:styleId="56">
    <w:name w:val="Revision"/>
    <w:hidden/>
    <w:unhideWhenUsed/>
    <w:qFormat/>
    <w:uiPriority w:val="99"/>
    <w:rPr>
      <w:rFonts w:ascii="Times New Roman" w:hAnsi="Times New Roman" w:eastAsia="宋体" w:cs="Times New Roman"/>
      <w:kern w:val="2"/>
      <w:sz w:val="21"/>
      <w:szCs w:val="24"/>
      <w:lang w:val="en-US" w:eastAsia="zh-CN" w:bidi="ar-SA"/>
    </w:rPr>
  </w:style>
  <w:style w:type="paragraph" w:customStyle="1" w:styleId="57">
    <w:name w:val="msolistparagraph"/>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Calibri"/>
      <w:kern w:val="2"/>
      <w:sz w:val="21"/>
      <w:szCs w:val="20"/>
      <w:lang w:val="en-US" w:eastAsia="zh-CN" w:bidi="ar"/>
    </w:rPr>
  </w:style>
  <w:style w:type="paragraph" w:customStyle="1" w:styleId="58">
    <w:name w:val="表格"/>
    <w:basedOn w:val="1"/>
    <w:qFormat/>
    <w:uiPriority w:val="0"/>
    <w:pPr>
      <w:adjustRightInd w:val="0"/>
      <w:snapToGrid w:val="0"/>
      <w:spacing w:after="60" w:line="400" w:lineRule="atLeast"/>
      <w:jc w:val="center"/>
      <w:textAlignment w:val="center"/>
    </w:pPr>
    <w:rPr>
      <w:kern w:val="0"/>
      <w:szCs w:val="20"/>
    </w:rPr>
  </w:style>
  <w:style w:type="paragraph" w:customStyle="1" w:styleId="59">
    <w:name w:val="标准文件_章标题"/>
    <w:next w:val="4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60">
    <w:name w:val="标准文件_一级无标题"/>
    <w:basedOn w:val="51"/>
    <w:qFormat/>
    <w:uiPriority w:val="0"/>
    <w:pPr>
      <w:spacing w:before="0" w:beforeLines="0" w:after="0" w:afterLines="0"/>
      <w:outlineLvl w:val="9"/>
    </w:pPr>
    <w:rPr>
      <w:rFonts w:ascii="宋体" w:eastAsia="宋体"/>
    </w:rPr>
  </w:style>
  <w:style w:type="paragraph" w:customStyle="1" w:styleId="61">
    <w:name w:val="标准文件_字母编号列项（一级）"/>
    <w:qFormat/>
    <w:uiPriority w:val="0"/>
    <w:pPr>
      <w:numPr>
        <w:ilvl w:val="0"/>
        <w:numId w:val="4"/>
      </w:numPr>
      <w:jc w:val="both"/>
    </w:pPr>
    <w:rPr>
      <w:rFonts w:ascii="宋体" w:hAnsi="Times New Roman" w:eastAsia="宋体" w:cs="Times New Roman"/>
      <w:sz w:val="21"/>
      <w:lang w:val="en-US" w:eastAsia="zh-CN" w:bidi="ar-SA"/>
    </w:rPr>
  </w:style>
  <w:style w:type="paragraph" w:customStyle="1" w:styleId="62">
    <w:name w:val="二级无"/>
    <w:basedOn w:val="35"/>
    <w:qFormat/>
    <w:uiPriority w:val="0"/>
    <w:pPr>
      <w:tabs>
        <w:tab w:val="left" w:pos="360"/>
      </w:tabs>
    </w:pPr>
    <w:rPr>
      <w:rFonts w:ascii="宋体" w:eastAsia="宋体"/>
      <w:szCs w:val="21"/>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6817</Words>
  <Characters>7142</Characters>
  <Lines>724</Lines>
  <Paragraphs>1010</Paragraphs>
  <TotalTime>34</TotalTime>
  <ScaleCrop>false</ScaleCrop>
  <LinksUpToDate>false</LinksUpToDate>
  <CharactersWithSpaces>7250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2025-04-10T15:50:00Z</dcterms:created>
  <dc:creator>X</dc:creator>
  <cp:lastModifiedBy>笳</cp:lastModifiedBy>
  <cp:lastPrinted>2025-04-23T09:37:00Z</cp:lastPrinted>
  <dcterms:modified xsi:type="dcterms:W3CDTF">2025-09-11T02:40:42Z</dcterms:modified>
  <dc:title>《系列2集装箱 分类、尺寸和额定质量》</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BD9BC2E382D84C08BAE494C745A7612E_13</vt:lpwstr>
  </property>
  <property fmtid="{D5CDD505-2E9C-101B-9397-08002B2CF9AE}" pid="4" name="KSOTemplateDocerSaveRecord">
    <vt:lpwstr>eyJoZGlkIjoiYmU5ZjhjMTA5NDM0ZWIwOTI5NzVkYTU2Y2JhN2NlYmYiLCJ1c2VySWQiOiI0Njc5MzE1MjUifQ==</vt:lpwstr>
  </property>
</Properties>
</file>