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3F007">
      <w:pPr>
        <w:widowControl/>
        <w:jc w:val="center"/>
        <w:rPr>
          <w:rFonts w:hint="eastAsia" w:ascii="黑体" w:hAnsi="黑体" w:eastAsia="黑体" w:cs="宋体"/>
          <w:color w:val="000000"/>
          <w:kern w:val="0"/>
          <w:sz w:val="44"/>
          <w:szCs w:val="44"/>
        </w:rPr>
      </w:pPr>
      <w:bookmarkStart w:id="0" w:name="_Toc488142666"/>
    </w:p>
    <w:p w14:paraId="7F2BEBE5">
      <w:pPr>
        <w:widowControl/>
        <w:jc w:val="center"/>
        <w:rPr>
          <w:rFonts w:hint="eastAsia" w:ascii="黑体" w:hAnsi="黑体" w:eastAsia="黑体" w:cs="宋体"/>
          <w:b/>
          <w:bCs/>
          <w:color w:val="000000"/>
          <w:kern w:val="0"/>
          <w:sz w:val="44"/>
          <w:szCs w:val="44"/>
        </w:rPr>
      </w:pPr>
    </w:p>
    <w:p w14:paraId="5305A89A">
      <w:pPr>
        <w:widowControl/>
        <w:jc w:val="center"/>
        <w:rPr>
          <w:rFonts w:hint="eastAsia" w:ascii="黑体" w:hAnsi="黑体" w:eastAsia="黑体" w:cs="宋体"/>
          <w:b/>
          <w:bCs/>
          <w:color w:val="000000"/>
          <w:kern w:val="0"/>
          <w:sz w:val="44"/>
          <w:szCs w:val="44"/>
        </w:rPr>
      </w:pPr>
    </w:p>
    <w:p w14:paraId="1B21F1E4">
      <w:pPr>
        <w:widowControl/>
        <w:jc w:val="center"/>
        <w:rPr>
          <w:rFonts w:hint="eastAsia" w:ascii="黑体" w:hAnsi="黑体" w:eastAsia="黑体" w:cs="宋体"/>
          <w:b/>
          <w:bCs/>
          <w:color w:val="000000"/>
          <w:kern w:val="0"/>
          <w:sz w:val="44"/>
          <w:szCs w:val="44"/>
        </w:rPr>
      </w:pPr>
    </w:p>
    <w:p w14:paraId="0049786C">
      <w:pPr>
        <w:widowControl/>
        <w:jc w:val="center"/>
        <w:rPr>
          <w:rFonts w:hint="eastAsia" w:ascii="黑体" w:hAnsi="黑体" w:eastAsia="黑体" w:cs="宋体"/>
          <w:b/>
          <w:bCs/>
          <w:color w:val="000000"/>
          <w:kern w:val="0"/>
          <w:sz w:val="44"/>
          <w:szCs w:val="44"/>
        </w:rPr>
      </w:pPr>
      <w:r>
        <w:rPr>
          <w:rFonts w:hint="eastAsia" w:ascii="黑体" w:hAnsi="黑体" w:eastAsia="黑体" w:cs="宋体"/>
          <w:b/>
          <w:bCs/>
          <w:color w:val="000000"/>
          <w:kern w:val="0"/>
          <w:sz w:val="44"/>
          <w:szCs w:val="44"/>
        </w:rPr>
        <w:t>中国港口协会团体标准</w:t>
      </w:r>
    </w:p>
    <w:p w14:paraId="3B06C5FC">
      <w:pPr>
        <w:widowControl/>
        <w:jc w:val="center"/>
        <w:rPr>
          <w:rFonts w:hint="eastAsia" w:ascii="宋体" w:hAnsi="宋体" w:cs="宋体"/>
          <w:kern w:val="0"/>
          <w:szCs w:val="24"/>
        </w:rPr>
      </w:pPr>
      <w:r>
        <w:rPr>
          <w:rFonts w:hint="eastAsia" w:ascii="黑体" w:hAnsi="黑体" w:eastAsia="黑体" w:cs="宋体"/>
          <w:b/>
          <w:bCs/>
          <w:color w:val="000000"/>
          <w:kern w:val="0"/>
          <w:sz w:val="44"/>
          <w:szCs w:val="44"/>
          <w:lang w:val="en-US" w:eastAsia="zh-CN"/>
        </w:rPr>
        <w:t>港口</w:t>
      </w:r>
      <w:r>
        <w:rPr>
          <w:rFonts w:hint="eastAsia" w:ascii="黑体" w:hAnsi="黑体" w:eastAsia="黑体" w:cs="宋体"/>
          <w:b/>
          <w:bCs/>
          <w:color w:val="000000"/>
          <w:kern w:val="0"/>
          <w:sz w:val="44"/>
          <w:szCs w:val="44"/>
        </w:rPr>
        <w:t>集装箱门式起重机自动化技术要求</w:t>
      </w:r>
    </w:p>
    <w:p w14:paraId="0DE625FF">
      <w:pPr>
        <w:widowControl/>
        <w:jc w:val="center"/>
        <w:rPr>
          <w:rFonts w:hint="eastAsia" w:ascii="宋体" w:hAnsi="宋体" w:cs="宋体"/>
          <w:kern w:val="0"/>
          <w:szCs w:val="24"/>
        </w:rPr>
      </w:pPr>
      <w:r>
        <w:rPr>
          <w:rFonts w:hint="eastAsia" w:ascii="黑体" w:hAnsi="黑体" w:eastAsia="黑体" w:cs="宋体"/>
          <w:b/>
          <w:bCs/>
          <w:color w:val="000000"/>
          <w:kern w:val="0"/>
          <w:sz w:val="44"/>
          <w:szCs w:val="44"/>
        </w:rPr>
        <w:t>（征求意见稿）</w:t>
      </w:r>
    </w:p>
    <w:p w14:paraId="514C6C1F">
      <w:pPr>
        <w:widowControl/>
        <w:jc w:val="center"/>
        <w:rPr>
          <w:rFonts w:ascii="方正小标宋简体" w:eastAsia="方正小标宋简体"/>
        </w:rPr>
      </w:pPr>
      <w:r>
        <w:rPr>
          <w:rFonts w:hint="eastAsia" w:ascii="黑体" w:hAnsi="黑体" w:eastAsia="黑体" w:cs="宋体"/>
          <w:b/>
          <w:bCs/>
          <w:color w:val="000000"/>
          <w:kern w:val="0"/>
          <w:sz w:val="44"/>
          <w:szCs w:val="44"/>
        </w:rPr>
        <w:t>编制说明</w:t>
      </w:r>
    </w:p>
    <w:p w14:paraId="7BDCBBD9">
      <w:pPr>
        <w:widowControl/>
        <w:jc w:val="left"/>
        <w:rPr>
          <w:rFonts w:ascii="方正小标宋简体" w:eastAsia="方正小标宋简体"/>
        </w:rPr>
      </w:pPr>
    </w:p>
    <w:p w14:paraId="5E1F64D3">
      <w:pPr>
        <w:widowControl/>
        <w:jc w:val="left"/>
        <w:rPr>
          <w:rFonts w:ascii="方正小标宋简体" w:eastAsia="方正小标宋简体"/>
        </w:rPr>
      </w:pPr>
    </w:p>
    <w:p w14:paraId="756BC931">
      <w:pPr>
        <w:widowControl/>
        <w:jc w:val="left"/>
        <w:rPr>
          <w:rFonts w:ascii="方正小标宋简体" w:eastAsia="方正小标宋简体"/>
        </w:rPr>
      </w:pPr>
    </w:p>
    <w:p w14:paraId="43125523">
      <w:pPr>
        <w:widowControl/>
        <w:jc w:val="left"/>
        <w:rPr>
          <w:rFonts w:ascii="方正小标宋简体" w:eastAsia="方正小标宋简体"/>
        </w:rPr>
      </w:pPr>
    </w:p>
    <w:p w14:paraId="3158EEC4">
      <w:pPr>
        <w:widowControl/>
        <w:jc w:val="left"/>
        <w:rPr>
          <w:rFonts w:ascii="方正小标宋简体" w:eastAsia="方正小标宋简体"/>
        </w:rPr>
      </w:pPr>
    </w:p>
    <w:p w14:paraId="3BCCA0E2">
      <w:pPr>
        <w:widowControl/>
        <w:jc w:val="left"/>
        <w:rPr>
          <w:rFonts w:ascii="方正小标宋简体" w:eastAsia="方正小标宋简体"/>
        </w:rPr>
      </w:pPr>
    </w:p>
    <w:p w14:paraId="3444C31D">
      <w:pPr>
        <w:widowControl/>
        <w:jc w:val="left"/>
        <w:rPr>
          <w:rFonts w:ascii="方正小标宋简体" w:eastAsia="方正小标宋简体"/>
        </w:rPr>
      </w:pPr>
    </w:p>
    <w:p w14:paraId="4CFDEE2D">
      <w:pPr>
        <w:widowControl/>
        <w:jc w:val="left"/>
        <w:rPr>
          <w:rFonts w:ascii="方正小标宋简体" w:eastAsia="方正小标宋简体"/>
        </w:rPr>
      </w:pPr>
    </w:p>
    <w:p w14:paraId="44A7087E">
      <w:pPr>
        <w:widowControl/>
        <w:jc w:val="center"/>
        <w:rPr>
          <w:rFonts w:hint="eastAsia" w:ascii="宋体" w:hAnsi="宋体" w:cs="宋体"/>
          <w:kern w:val="0"/>
          <w:szCs w:val="24"/>
        </w:rPr>
      </w:pPr>
      <w:r>
        <w:rPr>
          <w:rFonts w:hint="eastAsia" w:ascii="黑体" w:hAnsi="黑体" w:eastAsia="黑体" w:cs="宋体"/>
          <w:color w:val="000000"/>
          <w:kern w:val="0"/>
          <w:sz w:val="32"/>
          <w:szCs w:val="32"/>
        </w:rPr>
        <w:t>标准起草组</w:t>
      </w:r>
    </w:p>
    <w:p w14:paraId="56FDA2F0">
      <w:pPr>
        <w:widowControl/>
        <w:jc w:val="center"/>
        <w:rPr>
          <w:rFonts w:ascii="方正小标宋简体" w:eastAsia="方正小标宋简体"/>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ascii="黑体" w:hAnsi="黑体" w:eastAsia="黑体" w:cs="宋体"/>
          <w:color w:val="000000"/>
          <w:kern w:val="0"/>
          <w:sz w:val="32"/>
          <w:szCs w:val="32"/>
        </w:rPr>
        <w:t>二零二五年三月</w:t>
      </w:r>
    </w:p>
    <w:p w14:paraId="5B60B0DF">
      <w:pPr>
        <w:pStyle w:val="11"/>
        <w:rPr>
          <w:kern w:val="2"/>
          <w:sz w:val="21"/>
        </w:rPr>
      </w:pPr>
      <w:r>
        <w:rPr>
          <w:lang w:val="zh-CN"/>
        </w:rPr>
        <w:fldChar w:fldCharType="begin"/>
      </w:r>
      <w:r>
        <w:rPr>
          <w:lang w:val="zh-CN"/>
        </w:rPr>
        <w:instrText xml:space="preserve"> TOC \o "1-1" \h \z \u </w:instrText>
      </w:r>
      <w:r>
        <w:rPr>
          <w:lang w:val="zh-CN"/>
        </w:rPr>
        <w:fldChar w:fldCharType="separate"/>
      </w:r>
      <w:r>
        <w:fldChar w:fldCharType="begin"/>
      </w:r>
      <w:r>
        <w:instrText xml:space="preserve"> HYPERLINK \l "_Toc129373347" </w:instrText>
      </w:r>
      <w:r>
        <w:fldChar w:fldCharType="separate"/>
      </w:r>
      <w:r>
        <w:rPr>
          <w:rStyle w:val="16"/>
        </w:rPr>
        <w:t>1</w:t>
      </w:r>
      <w:r>
        <w:rPr>
          <w:rStyle w:val="16"/>
          <w:rFonts w:hint="eastAsia"/>
        </w:rPr>
        <w:t xml:space="preserve">  工作简况</w:t>
      </w:r>
      <w:r>
        <w:tab/>
      </w:r>
      <w:r>
        <w:fldChar w:fldCharType="begin"/>
      </w:r>
      <w:r>
        <w:instrText xml:space="preserve"> PAGEREF _Toc129373347 \h </w:instrText>
      </w:r>
      <w:r>
        <w:fldChar w:fldCharType="separate"/>
      </w:r>
      <w:r>
        <w:t>2</w:t>
      </w:r>
      <w:r>
        <w:fldChar w:fldCharType="end"/>
      </w:r>
      <w:r>
        <w:fldChar w:fldCharType="end"/>
      </w:r>
    </w:p>
    <w:p w14:paraId="276E3321">
      <w:pPr>
        <w:pStyle w:val="11"/>
        <w:rPr>
          <w:kern w:val="2"/>
          <w:sz w:val="21"/>
        </w:rPr>
      </w:pPr>
      <w:r>
        <w:fldChar w:fldCharType="begin"/>
      </w:r>
      <w:r>
        <w:instrText xml:space="preserve"> HYPERLINK \l "_Toc129373348" </w:instrText>
      </w:r>
      <w:r>
        <w:fldChar w:fldCharType="separate"/>
      </w:r>
      <w:r>
        <w:rPr>
          <w:rStyle w:val="16"/>
        </w:rPr>
        <w:t>2</w:t>
      </w:r>
      <w:r>
        <w:rPr>
          <w:kern w:val="2"/>
          <w:sz w:val="21"/>
        </w:rPr>
        <w:tab/>
      </w:r>
      <w:r>
        <w:rPr>
          <w:rStyle w:val="16"/>
          <w:rFonts w:hint="eastAsia"/>
        </w:rPr>
        <w:t>标准编制原则和确定标准主要内容的论据</w:t>
      </w:r>
      <w:r>
        <w:tab/>
      </w:r>
      <w:r>
        <w:fldChar w:fldCharType="begin"/>
      </w:r>
      <w:r>
        <w:instrText xml:space="preserve"> PAGEREF _Toc129373348 \h </w:instrText>
      </w:r>
      <w:r>
        <w:fldChar w:fldCharType="separate"/>
      </w:r>
      <w:r>
        <w:t>5</w:t>
      </w:r>
      <w:r>
        <w:fldChar w:fldCharType="end"/>
      </w:r>
      <w:r>
        <w:fldChar w:fldCharType="end"/>
      </w:r>
    </w:p>
    <w:p w14:paraId="49AC43D7">
      <w:pPr>
        <w:pStyle w:val="11"/>
        <w:rPr>
          <w:kern w:val="2"/>
          <w:sz w:val="21"/>
        </w:rPr>
      </w:pPr>
      <w:r>
        <w:fldChar w:fldCharType="begin"/>
      </w:r>
      <w:r>
        <w:instrText xml:space="preserve"> HYPERLINK \l "_Toc129373349" </w:instrText>
      </w:r>
      <w:r>
        <w:fldChar w:fldCharType="separate"/>
      </w:r>
      <w:r>
        <w:rPr>
          <w:rStyle w:val="16"/>
        </w:rPr>
        <w:t>3</w:t>
      </w:r>
      <w:r>
        <w:rPr>
          <w:kern w:val="2"/>
          <w:sz w:val="21"/>
        </w:rPr>
        <w:tab/>
      </w:r>
      <w:r>
        <w:rPr>
          <w:rStyle w:val="16"/>
          <w:rFonts w:hint="eastAsia"/>
        </w:rPr>
        <w:t>综述报告，技术经济论证，预期的经济效果</w:t>
      </w:r>
      <w:r>
        <w:tab/>
      </w:r>
      <w:r>
        <w:fldChar w:fldCharType="begin"/>
      </w:r>
      <w:r>
        <w:instrText xml:space="preserve"> PAGEREF _Toc129373349 \h </w:instrText>
      </w:r>
      <w:r>
        <w:fldChar w:fldCharType="separate"/>
      </w:r>
      <w:r>
        <w:t>13</w:t>
      </w:r>
      <w:r>
        <w:fldChar w:fldCharType="end"/>
      </w:r>
      <w:r>
        <w:fldChar w:fldCharType="end"/>
      </w:r>
    </w:p>
    <w:p w14:paraId="70B37A8D">
      <w:pPr>
        <w:pStyle w:val="11"/>
        <w:rPr>
          <w:kern w:val="2"/>
          <w:sz w:val="21"/>
        </w:rPr>
      </w:pPr>
      <w:r>
        <w:fldChar w:fldCharType="begin"/>
      </w:r>
      <w:r>
        <w:instrText xml:space="preserve"> HYPERLINK \l "_Toc129373350" </w:instrText>
      </w:r>
      <w:r>
        <w:fldChar w:fldCharType="separate"/>
      </w:r>
      <w:r>
        <w:rPr>
          <w:rStyle w:val="16"/>
        </w:rPr>
        <w:t>4</w:t>
      </w:r>
      <w:r>
        <w:rPr>
          <w:rStyle w:val="16"/>
          <w:rFonts w:hint="eastAsia"/>
        </w:rPr>
        <w:t xml:space="preserve">  国外相关法律、法规和标准情况的说明</w:t>
      </w:r>
      <w:r>
        <w:tab/>
      </w:r>
      <w:r>
        <w:fldChar w:fldCharType="begin"/>
      </w:r>
      <w:r>
        <w:instrText xml:space="preserve"> PAGEREF _Toc129373350 \h </w:instrText>
      </w:r>
      <w:r>
        <w:fldChar w:fldCharType="separate"/>
      </w:r>
      <w:r>
        <w:t>15</w:t>
      </w:r>
      <w:r>
        <w:fldChar w:fldCharType="end"/>
      </w:r>
      <w:r>
        <w:fldChar w:fldCharType="end"/>
      </w:r>
    </w:p>
    <w:p w14:paraId="30715F32">
      <w:pPr>
        <w:pStyle w:val="11"/>
        <w:rPr>
          <w:kern w:val="2"/>
          <w:sz w:val="21"/>
        </w:rPr>
      </w:pPr>
      <w:r>
        <w:fldChar w:fldCharType="begin"/>
      </w:r>
      <w:r>
        <w:instrText xml:space="preserve"> HYPERLINK \l "_Toc129373351" </w:instrText>
      </w:r>
      <w:r>
        <w:fldChar w:fldCharType="separate"/>
      </w:r>
      <w:r>
        <w:rPr>
          <w:rStyle w:val="16"/>
        </w:rPr>
        <w:t>5</w:t>
      </w:r>
      <w:r>
        <w:rPr>
          <w:kern w:val="2"/>
          <w:sz w:val="21"/>
        </w:rPr>
        <w:tab/>
      </w:r>
      <w:r>
        <w:rPr>
          <w:rStyle w:val="16"/>
          <w:rFonts w:hint="eastAsia"/>
        </w:rPr>
        <w:t>与我国有关的现行法律、法规和强制性标准的关系</w:t>
      </w:r>
      <w:r>
        <w:tab/>
      </w:r>
      <w:r>
        <w:fldChar w:fldCharType="begin"/>
      </w:r>
      <w:r>
        <w:instrText xml:space="preserve"> PAGEREF _Toc129373351 \h </w:instrText>
      </w:r>
      <w:r>
        <w:fldChar w:fldCharType="separate"/>
      </w:r>
      <w:r>
        <w:t>15</w:t>
      </w:r>
      <w:r>
        <w:fldChar w:fldCharType="end"/>
      </w:r>
      <w:r>
        <w:fldChar w:fldCharType="end"/>
      </w:r>
    </w:p>
    <w:p w14:paraId="085DD144">
      <w:pPr>
        <w:pStyle w:val="11"/>
        <w:rPr>
          <w:kern w:val="2"/>
          <w:sz w:val="21"/>
        </w:rPr>
      </w:pPr>
      <w:r>
        <w:fldChar w:fldCharType="begin"/>
      </w:r>
      <w:r>
        <w:instrText xml:space="preserve"> HYPERLINK \l "_Toc129373352" </w:instrText>
      </w:r>
      <w:r>
        <w:fldChar w:fldCharType="separate"/>
      </w:r>
      <w:r>
        <w:rPr>
          <w:rStyle w:val="16"/>
        </w:rPr>
        <w:t>6</w:t>
      </w:r>
      <w:r>
        <w:rPr>
          <w:kern w:val="2"/>
          <w:sz w:val="21"/>
        </w:rPr>
        <w:tab/>
      </w:r>
      <w:r>
        <w:rPr>
          <w:rStyle w:val="16"/>
          <w:rFonts w:hint="eastAsia"/>
        </w:rPr>
        <w:t>重大分歧意见的处理经过和依据</w:t>
      </w:r>
      <w:r>
        <w:tab/>
      </w:r>
      <w:r>
        <w:fldChar w:fldCharType="begin"/>
      </w:r>
      <w:r>
        <w:instrText xml:space="preserve"> PAGEREF _Toc129373352 \h </w:instrText>
      </w:r>
      <w:r>
        <w:fldChar w:fldCharType="separate"/>
      </w:r>
      <w:r>
        <w:t>15</w:t>
      </w:r>
      <w:r>
        <w:fldChar w:fldCharType="end"/>
      </w:r>
      <w:r>
        <w:fldChar w:fldCharType="end"/>
      </w:r>
    </w:p>
    <w:p w14:paraId="1231D7DA">
      <w:pPr>
        <w:pStyle w:val="11"/>
        <w:rPr>
          <w:kern w:val="2"/>
          <w:sz w:val="21"/>
        </w:rPr>
      </w:pPr>
      <w:r>
        <w:fldChar w:fldCharType="begin"/>
      </w:r>
      <w:r>
        <w:instrText xml:space="preserve"> HYPERLINK \l "_Toc129373353" </w:instrText>
      </w:r>
      <w:r>
        <w:fldChar w:fldCharType="separate"/>
      </w:r>
      <w:r>
        <w:rPr>
          <w:rStyle w:val="16"/>
        </w:rPr>
        <w:t>7</w:t>
      </w:r>
      <w:r>
        <w:rPr>
          <w:kern w:val="2"/>
          <w:sz w:val="21"/>
        </w:rPr>
        <w:tab/>
      </w:r>
      <w:r>
        <w:rPr>
          <w:rStyle w:val="16"/>
          <w:rFonts w:hint="eastAsia"/>
        </w:rPr>
        <w:t>贯彻标准的要求和措施建议</w:t>
      </w:r>
      <w:r>
        <w:tab/>
      </w:r>
      <w:r>
        <w:fldChar w:fldCharType="begin"/>
      </w:r>
      <w:r>
        <w:instrText xml:space="preserve"> PAGEREF _Toc129373353 \h </w:instrText>
      </w:r>
      <w:r>
        <w:fldChar w:fldCharType="separate"/>
      </w:r>
      <w:r>
        <w:t>15</w:t>
      </w:r>
      <w:r>
        <w:fldChar w:fldCharType="end"/>
      </w:r>
      <w:r>
        <w:fldChar w:fldCharType="end"/>
      </w:r>
    </w:p>
    <w:p w14:paraId="1D3277E0">
      <w:pPr>
        <w:pStyle w:val="11"/>
        <w:rPr>
          <w:kern w:val="2"/>
          <w:sz w:val="21"/>
        </w:rPr>
      </w:pPr>
      <w:r>
        <w:fldChar w:fldCharType="begin"/>
      </w:r>
      <w:r>
        <w:instrText xml:space="preserve"> HYPERLINK \l "_Toc129373354" </w:instrText>
      </w:r>
      <w:r>
        <w:fldChar w:fldCharType="separate"/>
      </w:r>
      <w:r>
        <w:rPr>
          <w:rStyle w:val="16"/>
        </w:rPr>
        <w:t>8</w:t>
      </w:r>
      <w:r>
        <w:rPr>
          <w:kern w:val="2"/>
          <w:sz w:val="21"/>
        </w:rPr>
        <w:tab/>
      </w:r>
      <w:r>
        <w:rPr>
          <w:rStyle w:val="16"/>
          <w:rFonts w:hint="eastAsia"/>
        </w:rPr>
        <w:t>废止现行有关标准的建议</w:t>
      </w:r>
      <w:r>
        <w:tab/>
      </w:r>
      <w:r>
        <w:fldChar w:fldCharType="begin"/>
      </w:r>
      <w:r>
        <w:instrText xml:space="preserve"> PAGEREF _Toc129373354 \h </w:instrText>
      </w:r>
      <w:r>
        <w:fldChar w:fldCharType="separate"/>
      </w:r>
      <w:r>
        <w:t>15</w:t>
      </w:r>
      <w:r>
        <w:fldChar w:fldCharType="end"/>
      </w:r>
      <w:r>
        <w:fldChar w:fldCharType="end"/>
      </w:r>
    </w:p>
    <w:p w14:paraId="342D9043">
      <w:pPr>
        <w:pStyle w:val="11"/>
        <w:rPr>
          <w:kern w:val="2"/>
          <w:sz w:val="21"/>
        </w:rPr>
      </w:pPr>
      <w:r>
        <w:fldChar w:fldCharType="begin"/>
      </w:r>
      <w:r>
        <w:instrText xml:space="preserve"> HYPERLINK \l "_Toc129373355" </w:instrText>
      </w:r>
      <w:r>
        <w:fldChar w:fldCharType="separate"/>
      </w:r>
      <w:r>
        <w:rPr>
          <w:rStyle w:val="16"/>
        </w:rPr>
        <w:t>9</w:t>
      </w:r>
      <w:r>
        <w:rPr>
          <w:kern w:val="2"/>
          <w:sz w:val="21"/>
        </w:rPr>
        <w:tab/>
      </w:r>
      <w:r>
        <w:rPr>
          <w:rStyle w:val="16"/>
          <w:rFonts w:hint="eastAsia"/>
        </w:rPr>
        <w:t>其他应予说明的事项</w:t>
      </w:r>
      <w:r>
        <w:tab/>
      </w:r>
      <w:r>
        <w:fldChar w:fldCharType="begin"/>
      </w:r>
      <w:r>
        <w:instrText xml:space="preserve"> PAGEREF _Toc129373355 \h </w:instrText>
      </w:r>
      <w:r>
        <w:fldChar w:fldCharType="separate"/>
      </w:r>
      <w:r>
        <w:t>15</w:t>
      </w:r>
      <w:r>
        <w:fldChar w:fldCharType="end"/>
      </w:r>
      <w:r>
        <w:fldChar w:fldCharType="end"/>
      </w:r>
    </w:p>
    <w:p w14:paraId="5304238B">
      <w:pPr>
        <w:widowControl/>
        <w:jc w:val="left"/>
        <w:rPr>
          <w:rFonts w:hint="eastAsia" w:ascii="黑体" w:hAnsi="黑体" w:eastAsia="黑体" w:cs="宋体"/>
          <w:color w:val="000000"/>
          <w:kern w:val="0"/>
          <w:sz w:val="30"/>
          <w:szCs w:val="30"/>
        </w:rPr>
      </w:pPr>
      <w:r>
        <w:rPr>
          <w:rFonts w:asciiTheme="minorHAnsi" w:hAnsiTheme="minorHAnsi" w:eastAsiaTheme="minorEastAsia" w:cstheme="minorBidi"/>
          <w:kern w:val="0"/>
          <w:sz w:val="22"/>
          <w:szCs w:val="22"/>
          <w:lang w:val="zh-CN"/>
        </w:rPr>
        <w:fldChar w:fldCharType="end"/>
      </w:r>
    </w:p>
    <w:p w14:paraId="60D47717">
      <w:pPr>
        <w:widowControl/>
        <w:jc w:val="left"/>
        <w:rPr>
          <w:rFonts w:hint="eastAsia" w:ascii="黑体" w:hAnsi="黑体" w:eastAsia="黑体" w:cs="宋体"/>
          <w:color w:val="000000"/>
          <w:kern w:val="0"/>
          <w:sz w:val="30"/>
          <w:szCs w:val="30"/>
        </w:rPr>
      </w:pPr>
    </w:p>
    <w:p w14:paraId="51E9A743">
      <w:pPr>
        <w:widowControl/>
        <w:jc w:val="left"/>
        <w:rPr>
          <w:rFonts w:hint="eastAsia" w:ascii="黑体" w:hAnsi="黑体" w:eastAsia="黑体" w:cs="宋体"/>
          <w:color w:val="000000"/>
          <w:kern w:val="0"/>
          <w:sz w:val="30"/>
          <w:szCs w:val="30"/>
        </w:rPr>
      </w:pPr>
    </w:p>
    <w:p w14:paraId="0BC2A37D">
      <w:pPr>
        <w:widowControl/>
        <w:jc w:val="left"/>
        <w:rPr>
          <w:rFonts w:hint="eastAsia" w:ascii="黑体" w:hAnsi="黑体" w:eastAsia="黑体" w:cs="宋体"/>
          <w:color w:val="000000"/>
          <w:kern w:val="0"/>
          <w:sz w:val="30"/>
          <w:szCs w:val="30"/>
        </w:rPr>
      </w:pPr>
    </w:p>
    <w:p w14:paraId="4506A656">
      <w:pPr>
        <w:widowControl/>
        <w:jc w:val="left"/>
        <w:rPr>
          <w:rFonts w:hint="eastAsia" w:ascii="黑体" w:hAnsi="黑体" w:eastAsia="黑体" w:cs="宋体"/>
          <w:color w:val="000000"/>
          <w:kern w:val="0"/>
          <w:sz w:val="30"/>
          <w:szCs w:val="30"/>
        </w:rPr>
      </w:pPr>
    </w:p>
    <w:p w14:paraId="2B28065D">
      <w:pPr>
        <w:widowControl/>
        <w:jc w:val="left"/>
        <w:rPr>
          <w:rFonts w:hint="eastAsia" w:ascii="黑体" w:hAnsi="黑体" w:eastAsia="黑体" w:cs="宋体"/>
          <w:color w:val="000000"/>
          <w:kern w:val="0"/>
          <w:sz w:val="30"/>
          <w:szCs w:val="30"/>
        </w:rPr>
      </w:pPr>
    </w:p>
    <w:p w14:paraId="3988DE73">
      <w:pPr>
        <w:widowControl/>
        <w:jc w:val="left"/>
        <w:rPr>
          <w:rFonts w:hint="eastAsia" w:ascii="黑体" w:hAnsi="黑体" w:eastAsia="黑体" w:cs="宋体"/>
          <w:color w:val="000000"/>
          <w:kern w:val="0"/>
          <w:sz w:val="30"/>
          <w:szCs w:val="30"/>
        </w:rPr>
      </w:pPr>
    </w:p>
    <w:p w14:paraId="52CAB240">
      <w:pPr>
        <w:widowControl/>
        <w:jc w:val="left"/>
        <w:rPr>
          <w:rFonts w:hint="eastAsia" w:ascii="黑体" w:hAnsi="黑体" w:eastAsia="黑体" w:cs="宋体"/>
          <w:color w:val="000000"/>
          <w:kern w:val="0"/>
          <w:sz w:val="30"/>
          <w:szCs w:val="30"/>
        </w:rPr>
      </w:pPr>
    </w:p>
    <w:p w14:paraId="45251E3C">
      <w:pPr>
        <w:widowControl/>
        <w:jc w:val="left"/>
        <w:rPr>
          <w:rFonts w:hint="eastAsia" w:ascii="黑体" w:hAnsi="黑体" w:eastAsia="黑体" w:cs="宋体"/>
          <w:color w:val="000000"/>
          <w:kern w:val="0"/>
          <w:sz w:val="30"/>
          <w:szCs w:val="30"/>
        </w:rPr>
      </w:pPr>
    </w:p>
    <w:p w14:paraId="3C05CD99">
      <w:pPr>
        <w:widowControl/>
        <w:jc w:val="left"/>
        <w:rPr>
          <w:rFonts w:hint="eastAsia" w:ascii="黑体" w:hAnsi="黑体" w:eastAsia="黑体" w:cs="宋体"/>
          <w:color w:val="000000"/>
          <w:kern w:val="0"/>
          <w:sz w:val="30"/>
          <w:szCs w:val="30"/>
        </w:rPr>
      </w:pPr>
    </w:p>
    <w:p w14:paraId="45AD2C57">
      <w:pPr>
        <w:widowControl/>
        <w:jc w:val="left"/>
        <w:rPr>
          <w:rFonts w:hint="eastAsia" w:ascii="黑体" w:hAnsi="黑体" w:eastAsia="黑体" w:cs="宋体"/>
          <w:color w:val="000000"/>
          <w:kern w:val="0"/>
          <w:sz w:val="30"/>
          <w:szCs w:val="30"/>
        </w:rPr>
      </w:pPr>
    </w:p>
    <w:p w14:paraId="1F8AE391">
      <w:pPr>
        <w:widowControl/>
        <w:jc w:val="left"/>
        <w:rPr>
          <w:rFonts w:hint="eastAsia" w:ascii="黑体" w:hAnsi="黑体" w:eastAsia="黑体" w:cs="宋体"/>
          <w:color w:val="000000"/>
          <w:kern w:val="0"/>
          <w:sz w:val="30"/>
          <w:szCs w:val="30"/>
        </w:rPr>
      </w:pPr>
    </w:p>
    <w:p w14:paraId="2E4902F9">
      <w:pPr>
        <w:widowControl/>
        <w:jc w:val="left"/>
        <w:rPr>
          <w:rFonts w:hint="eastAsia" w:ascii="黑体" w:hAnsi="黑体" w:eastAsia="黑体" w:cs="宋体"/>
          <w:color w:val="000000"/>
          <w:kern w:val="0"/>
          <w:sz w:val="30"/>
          <w:szCs w:val="30"/>
        </w:rPr>
      </w:pPr>
    </w:p>
    <w:p w14:paraId="4203E75E">
      <w:pPr>
        <w:widowControl/>
        <w:jc w:val="left"/>
        <w:rPr>
          <w:rFonts w:hint="eastAsia" w:ascii="黑体" w:hAnsi="黑体" w:eastAsia="黑体" w:cs="宋体"/>
          <w:color w:val="000000"/>
          <w:kern w:val="0"/>
          <w:sz w:val="30"/>
          <w:szCs w:val="30"/>
        </w:rPr>
      </w:pPr>
    </w:p>
    <w:p w14:paraId="2ACFE3FB">
      <w:pPr>
        <w:widowControl/>
        <w:jc w:val="left"/>
        <w:rPr>
          <w:rFonts w:hint="eastAsia" w:ascii="黑体" w:hAnsi="黑体" w:eastAsia="黑体" w:cs="宋体"/>
          <w:color w:val="000000"/>
          <w:kern w:val="0"/>
          <w:sz w:val="30"/>
          <w:szCs w:val="30"/>
        </w:rPr>
      </w:pPr>
    </w:p>
    <w:p w14:paraId="0469DE11">
      <w:pPr>
        <w:widowControl/>
        <w:jc w:val="center"/>
        <w:rPr>
          <w:rFonts w:ascii="方正小标宋简体" w:eastAsia="方正小标宋简体" w:hAnsiTheme="majorHAnsi" w:cstheme="majorBidi"/>
          <w:b/>
          <w:bCs/>
          <w:sz w:val="32"/>
          <w:szCs w:val="32"/>
        </w:rPr>
      </w:pPr>
      <w:r>
        <w:rPr>
          <w:rFonts w:hint="eastAsia" w:ascii="黑体" w:hAnsi="黑体" w:eastAsia="黑体" w:cs="宋体"/>
          <w:color w:val="000000"/>
          <w:kern w:val="0"/>
          <w:sz w:val="30"/>
          <w:szCs w:val="30"/>
        </w:rPr>
        <w:t>《</w:t>
      </w:r>
      <w:r>
        <w:rPr>
          <w:rFonts w:hint="eastAsia" w:ascii="黑体" w:hAnsi="黑体" w:eastAsia="黑体" w:cs="宋体"/>
          <w:color w:val="000000"/>
          <w:kern w:val="0"/>
          <w:sz w:val="30"/>
          <w:szCs w:val="30"/>
          <w:lang w:val="en-US" w:eastAsia="zh-CN"/>
        </w:rPr>
        <w:t>港口</w:t>
      </w:r>
      <w:bookmarkStart w:id="9" w:name="_GoBack"/>
      <w:bookmarkEnd w:id="9"/>
      <w:r>
        <w:rPr>
          <w:rFonts w:hint="eastAsia" w:ascii="黑体" w:hAnsi="黑体" w:eastAsia="黑体" w:cs="宋体"/>
          <w:color w:val="000000"/>
          <w:kern w:val="0"/>
          <w:sz w:val="30"/>
          <w:szCs w:val="30"/>
        </w:rPr>
        <w:t>集装箱门式起重机自动化技术要求》（征求意见稿）编制说明</w:t>
      </w:r>
    </w:p>
    <w:p w14:paraId="6C78E965">
      <w:pPr>
        <w:pStyle w:val="2"/>
        <w:rPr>
          <w:rFonts w:hint="eastAsia"/>
        </w:rPr>
      </w:pPr>
      <w:bookmarkStart w:id="1" w:name="_Toc129373347"/>
      <w:r>
        <w:rPr>
          <w:rFonts w:hint="eastAsia"/>
        </w:rPr>
        <w:t>1工作简况</w:t>
      </w:r>
      <w:bookmarkEnd w:id="1"/>
    </w:p>
    <w:p w14:paraId="759EC2DF">
      <w:pPr>
        <w:pStyle w:val="3"/>
        <w:numPr>
          <w:ilvl w:val="1"/>
          <w:numId w:val="1"/>
        </w:numPr>
      </w:pPr>
      <w:r>
        <w:rPr>
          <w:rFonts w:hint="eastAsia"/>
        </w:rPr>
        <w:t>任务来源</w:t>
      </w:r>
    </w:p>
    <w:p w14:paraId="39D13498">
      <w:pPr>
        <w:ind w:firstLine="480"/>
      </w:pPr>
      <w:r>
        <w:t>为贯彻落实国家关于港口自动化发展的战略部署，依据《中国港口协会关于开展2024年度团体标准项目征集工作的通知》，本标准由中国港口协会批准立项，具体由厦门远海集装箱码头有限公司牵头，自动化码头技术交通运输行业研发中心、中远海运港口有限公司、上海振华重工（集团）股份有限公司和上海海事大学联合参与编制工作。</w:t>
      </w:r>
    </w:p>
    <w:p w14:paraId="2980DA14">
      <w:pPr>
        <w:ind w:firstLine="480"/>
      </w:pPr>
      <w:r>
        <w:rPr>
          <w:rFonts w:hint="eastAsia"/>
        </w:rPr>
        <w:t>标准</w:t>
      </w:r>
      <w:r>
        <w:t>性质：中国港口协会团体标准</w:t>
      </w:r>
      <w:r>
        <w:rPr>
          <w:rFonts w:hint="eastAsia"/>
        </w:rPr>
        <w:t>。</w:t>
      </w:r>
    </w:p>
    <w:p w14:paraId="4F3AED5C">
      <w:pPr>
        <w:ind w:firstLine="480"/>
      </w:pPr>
      <w:r>
        <w:rPr>
          <w:rFonts w:hint="eastAsia"/>
        </w:rPr>
        <w:t>主管部门</w:t>
      </w:r>
      <w:r>
        <w:t>：中国港口协会</w:t>
      </w:r>
      <w:r>
        <w:rPr>
          <w:rFonts w:hint="eastAsia"/>
        </w:rPr>
        <w:t>。</w:t>
      </w:r>
    </w:p>
    <w:p w14:paraId="22B0AFD3">
      <w:pPr>
        <w:pStyle w:val="3"/>
      </w:pPr>
      <w:r>
        <w:rPr>
          <w:rFonts w:hint="eastAsia"/>
        </w:rPr>
        <w:t>1.2 标准起草单位、起草人员及所做的工作</w:t>
      </w:r>
    </w:p>
    <w:p w14:paraId="6F55FD7A">
      <w:pPr>
        <w:pStyle w:val="4"/>
      </w:pPr>
      <w:r>
        <w:rPr>
          <w:rFonts w:hint="eastAsia"/>
        </w:rPr>
        <w:t>1.2.1 标准起草单位</w:t>
      </w:r>
    </w:p>
    <w:p w14:paraId="0338248B">
      <w:pPr>
        <w:ind w:firstLine="480" w:firstLineChars="200"/>
      </w:pPr>
      <w:r>
        <w:t>本标准由厦门远海集装箱码头有限公司牵头，联合自动化码头技术交通运输行业研发中心、中远海运港口有限公司、上海振华重工（集团）股份有限公司及上海海事大学共同起草。</w:t>
      </w:r>
    </w:p>
    <w:p w14:paraId="42723F53">
      <w:pPr>
        <w:ind w:firstLine="480" w:firstLineChars="200"/>
      </w:pPr>
      <w:r>
        <w:rPr>
          <w:rFonts w:hint="eastAsia"/>
        </w:rPr>
        <w:t>本标准编制过程中，项目组结合</w:t>
      </w:r>
      <w:r>
        <w:t>自身相关项目的</w:t>
      </w:r>
      <w:r>
        <w:rPr>
          <w:rFonts w:hint="eastAsia"/>
        </w:rPr>
        <w:t>研发</w:t>
      </w:r>
      <w:r>
        <w:t>与应用经验，</w:t>
      </w:r>
      <w:r>
        <w:rPr>
          <w:rFonts w:hint="eastAsia"/>
        </w:rPr>
        <w:t>以及对国内多家港口及其集装箱码头门式起重机开展的调研工作，组织行业专家专题研讨，得到了相关单位的支持和协助，取得了大量具有建设性的意见和建议，保证了本标准的编制质量。</w:t>
      </w:r>
    </w:p>
    <w:p w14:paraId="528EB072">
      <w:pPr>
        <w:ind w:firstLine="480" w:firstLineChars="200"/>
      </w:pPr>
      <w:r>
        <w:rPr>
          <w:rFonts w:hint="eastAsia"/>
        </w:rPr>
        <w:t>在整个标准编制过程中，</w:t>
      </w:r>
      <w:r>
        <w:rPr>
          <w:szCs w:val="21"/>
        </w:rPr>
        <w:t>厦门远海集装箱码头有限公司</w:t>
      </w:r>
      <w:r>
        <w:rPr>
          <w:rFonts w:hint="eastAsia"/>
        </w:rPr>
        <w:t>全面负责组织开展本标准研究工作，统筹标准的调研、编写和审查，负责</w:t>
      </w:r>
      <w:r>
        <w:rPr>
          <w:rFonts w:hint="eastAsia"/>
          <w:sz w:val="23"/>
          <w:szCs w:val="23"/>
        </w:rPr>
        <w:t>项目研究的业务支持</w:t>
      </w:r>
      <w:r>
        <w:rPr>
          <w:rFonts w:hint="eastAsia"/>
        </w:rPr>
        <w:t>，</w:t>
      </w:r>
      <w:r>
        <w:rPr>
          <w:rFonts w:hint="eastAsia"/>
          <w:sz w:val="23"/>
          <w:szCs w:val="23"/>
        </w:rPr>
        <w:t>参与工作大纲编写、项目调研、资料检索收集、主要技术内容研究、标准的构成和基本参数等相关标准内容的研究与编写工作</w:t>
      </w:r>
      <w:r>
        <w:rPr>
          <w:rFonts w:hint="eastAsia"/>
        </w:rPr>
        <w:t>；</w:t>
      </w:r>
      <w:r>
        <w:t>自动化码头技术交通运输行业研发中心</w:t>
      </w:r>
      <w:r>
        <w:br w:type="textWrapping"/>
      </w:r>
      <w:r>
        <w:t>负责提供自动化技术咨询，参与自动化技术方案论证、技术指标评估、标准初稿编写与审查工作</w:t>
      </w:r>
      <w:r>
        <w:rPr>
          <w:rFonts w:hint="eastAsia"/>
        </w:rPr>
        <w:t>；</w:t>
      </w:r>
      <w:r>
        <w:t>中远海运港口有限公司主要承担行业需求调研，负责自动化技术标准化体系构建，提供技术支持并审查标准草案技术内容</w:t>
      </w:r>
      <w:r>
        <w:rPr>
          <w:rFonts w:hint="eastAsia"/>
        </w:rPr>
        <w:t>；</w:t>
      </w:r>
      <w:r>
        <w:t>上海振华重工（集团）股份有限公司提供集装箱门式起重机设备的自动化制造技术支撑，负责设备自动化技术需求分析、技术参数确定以及技术内容审定</w:t>
      </w:r>
      <w:r>
        <w:rPr>
          <w:rFonts w:hint="eastAsia"/>
        </w:rPr>
        <w:t>；</w:t>
      </w:r>
      <w:r>
        <w:t>上海海事大学负责标准技术体系的研究与制定，组织标准技术内容的调研、论证，牵头编写主要技术章节和技术指标要求。</w:t>
      </w:r>
    </w:p>
    <w:p w14:paraId="39BC7A74">
      <w:pPr>
        <w:pStyle w:val="4"/>
      </w:pPr>
      <w:r>
        <w:rPr>
          <w:rFonts w:hint="eastAsia"/>
        </w:rPr>
        <w:t>1.2.2 起草人员及所做的工作</w:t>
      </w:r>
    </w:p>
    <w:p w14:paraId="0EB2915B">
      <w:pPr>
        <w:jc w:val="center"/>
      </w:pPr>
      <w:r>
        <w:rPr>
          <w:rFonts w:hint="eastAsia"/>
        </w:rPr>
        <w:t>表</w:t>
      </w:r>
      <w:r>
        <w:t xml:space="preserve">1 </w:t>
      </w:r>
      <w:r>
        <w:rPr>
          <w:rFonts w:hint="eastAsia"/>
        </w:rPr>
        <w:t>主要</w:t>
      </w:r>
      <w:r>
        <w:t>起草人、单位及承担工作</w:t>
      </w:r>
    </w:p>
    <w:tbl>
      <w:tblPr>
        <w:tblStyle w:val="14"/>
        <w:tblW w:w="83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992"/>
        <w:gridCol w:w="1970"/>
        <w:gridCol w:w="1276"/>
        <w:gridCol w:w="3417"/>
      </w:tblGrid>
      <w:tr w14:paraId="1F49FC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737F0208">
            <w:r>
              <w:rPr>
                <w:rFonts w:hint="eastAsia"/>
              </w:rPr>
              <w:t>序号</w:t>
            </w:r>
          </w:p>
        </w:tc>
        <w:tc>
          <w:tcPr>
            <w:tcW w:w="992" w:type="dxa"/>
            <w:tcBorders>
              <w:right w:val="single" w:color="auto" w:sz="4" w:space="0"/>
            </w:tcBorders>
            <w:vAlign w:val="center"/>
          </w:tcPr>
          <w:p w14:paraId="6A7DF307">
            <w:pPr>
              <w:jc w:val="center"/>
            </w:pPr>
            <w:r>
              <w:t>姓名</w:t>
            </w:r>
          </w:p>
        </w:tc>
        <w:tc>
          <w:tcPr>
            <w:tcW w:w="1970" w:type="dxa"/>
            <w:tcBorders>
              <w:left w:val="single" w:color="auto" w:sz="4" w:space="0"/>
              <w:right w:val="single" w:color="auto" w:sz="4" w:space="0"/>
            </w:tcBorders>
            <w:vAlign w:val="center"/>
          </w:tcPr>
          <w:p w14:paraId="7CE132C6">
            <w:pPr>
              <w:jc w:val="center"/>
            </w:pPr>
            <w:r>
              <w:t>单位</w:t>
            </w:r>
          </w:p>
        </w:tc>
        <w:tc>
          <w:tcPr>
            <w:tcW w:w="1276" w:type="dxa"/>
            <w:tcBorders>
              <w:left w:val="single" w:color="auto" w:sz="4" w:space="0"/>
              <w:right w:val="single" w:color="auto" w:sz="4" w:space="0"/>
            </w:tcBorders>
            <w:vAlign w:val="center"/>
          </w:tcPr>
          <w:p w14:paraId="6665D0F6">
            <w:r>
              <w:t>职称/职务</w:t>
            </w:r>
          </w:p>
        </w:tc>
        <w:tc>
          <w:tcPr>
            <w:tcW w:w="3417" w:type="dxa"/>
            <w:tcBorders>
              <w:left w:val="single" w:color="auto" w:sz="4" w:space="0"/>
            </w:tcBorders>
            <w:vAlign w:val="center"/>
          </w:tcPr>
          <w:p w14:paraId="6B0E5118">
            <w:pPr>
              <w:jc w:val="center"/>
            </w:pPr>
            <w:r>
              <w:rPr>
                <w:rFonts w:hint="eastAsia"/>
              </w:rPr>
              <w:t>承担工作</w:t>
            </w:r>
          </w:p>
        </w:tc>
      </w:tr>
      <w:tr w14:paraId="5B561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51603743">
            <w:pPr>
              <w:jc w:val="center"/>
            </w:pPr>
          </w:p>
          <w:p w14:paraId="74763034">
            <w:pPr>
              <w:jc w:val="center"/>
            </w:pPr>
            <w:r>
              <w:t>1</w:t>
            </w:r>
          </w:p>
        </w:tc>
        <w:tc>
          <w:tcPr>
            <w:tcW w:w="992" w:type="dxa"/>
            <w:tcBorders>
              <w:right w:val="single" w:color="auto" w:sz="4" w:space="0"/>
            </w:tcBorders>
          </w:tcPr>
          <w:p w14:paraId="5ADEC3A8">
            <w:pPr>
              <w:jc w:val="center"/>
              <w:rPr>
                <w:rFonts w:ascii="宋体" w:hAnsi="宋体" w:cs="宋体"/>
              </w:rPr>
            </w:pPr>
          </w:p>
          <w:p w14:paraId="75242224">
            <w:pPr>
              <w:rPr>
                <w:rFonts w:ascii="宋体" w:hAnsi="宋体" w:cs="宋体"/>
              </w:rPr>
            </w:pPr>
            <w:r>
              <w:rPr>
                <w:rFonts w:hint="eastAsia" w:ascii="宋体" w:hAnsi="宋体" w:cs="宋体"/>
              </w:rPr>
              <w:t>吕忠兴</w:t>
            </w:r>
          </w:p>
        </w:tc>
        <w:tc>
          <w:tcPr>
            <w:tcW w:w="1970" w:type="dxa"/>
            <w:tcBorders>
              <w:left w:val="single" w:color="auto" w:sz="4" w:space="0"/>
              <w:right w:val="single" w:color="auto" w:sz="4" w:space="0"/>
            </w:tcBorders>
          </w:tcPr>
          <w:p w14:paraId="001B295E">
            <w:pPr>
              <w:rPr>
                <w:rFonts w:ascii="宋体" w:hAnsi="宋体" w:cs="宋体"/>
              </w:rPr>
            </w:pPr>
          </w:p>
          <w:p w14:paraId="063EA49C">
            <w:pPr>
              <w:rPr>
                <w:rFonts w:ascii="宋体" w:hAnsi="宋体" w:cs="宋体"/>
              </w:rPr>
            </w:pPr>
            <w:r>
              <w:rPr>
                <w:rFonts w:hint="eastAsia" w:ascii="宋体" w:hAnsi="宋体" w:cs="宋体"/>
              </w:rPr>
              <w:t>厦门远海集装箱码头有限公司</w:t>
            </w:r>
          </w:p>
        </w:tc>
        <w:tc>
          <w:tcPr>
            <w:tcW w:w="1276" w:type="dxa"/>
            <w:tcBorders>
              <w:left w:val="single" w:color="auto" w:sz="4" w:space="0"/>
              <w:right w:val="single" w:color="auto" w:sz="4" w:space="0"/>
            </w:tcBorders>
          </w:tcPr>
          <w:p w14:paraId="2C3DACF2">
            <w:r>
              <w:rPr>
                <w:rFonts w:hint="eastAsia" w:ascii="宋体" w:hAnsi="宋体" w:cs="宋体"/>
              </w:rPr>
              <w:t>党委书记、董事</w:t>
            </w:r>
            <w:r>
              <w:rPr>
                <w:rFonts w:hint="eastAsia"/>
              </w:rPr>
              <w:t>长</w:t>
            </w:r>
          </w:p>
        </w:tc>
        <w:tc>
          <w:tcPr>
            <w:tcW w:w="3417" w:type="dxa"/>
            <w:tcBorders>
              <w:left w:val="single" w:color="auto" w:sz="4" w:space="0"/>
            </w:tcBorders>
          </w:tcPr>
          <w:p w14:paraId="55208333">
            <w:pPr>
              <w:jc w:val="center"/>
            </w:pPr>
            <w:r>
              <w:rPr>
                <w:rFonts w:hint="eastAsia" w:ascii="宋体" w:hAnsi="宋体" w:cs="宋体"/>
              </w:rPr>
              <w:t>项目负责人，全面负责标准研究和编写组织协调、总体技术内容确定、标准结构审定及标准</w:t>
            </w:r>
            <w:r>
              <w:t>1</w:t>
            </w:r>
            <w:r>
              <w:rPr>
                <w:rFonts w:hint="eastAsia" w:ascii="宋体" w:hAnsi="宋体" w:cs="宋体"/>
              </w:rPr>
              <w:t>至</w:t>
            </w:r>
            <w:r>
              <w:t>6</w:t>
            </w:r>
            <w:r>
              <w:rPr>
                <w:rFonts w:hint="eastAsia" w:ascii="宋体" w:hAnsi="宋体" w:cs="宋体"/>
              </w:rPr>
              <w:t>章内容审核</w:t>
            </w:r>
            <w:r>
              <w:rPr>
                <w:rFonts w:hint="eastAsia"/>
              </w:rPr>
              <w:t>。</w:t>
            </w:r>
          </w:p>
        </w:tc>
      </w:tr>
      <w:tr w14:paraId="03AA1D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 w:hRule="atLeast"/>
          <w:jc w:val="center"/>
        </w:trPr>
        <w:tc>
          <w:tcPr>
            <w:tcW w:w="8364" w:type="dxa"/>
            <w:gridSpan w:val="5"/>
          </w:tcPr>
          <w:p w14:paraId="18A817EA">
            <w:pPr>
              <w:jc w:val="center"/>
            </w:pPr>
          </w:p>
        </w:tc>
      </w:tr>
      <w:tr w14:paraId="762BD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30362D57">
            <w:pPr>
              <w:jc w:val="center"/>
              <w:rPr>
                <w:rFonts w:hint="eastAsia"/>
              </w:rPr>
            </w:pPr>
            <w:r>
              <w:rPr>
                <w:rFonts w:hint="eastAsia"/>
              </w:rPr>
              <w:t>2</w:t>
            </w:r>
          </w:p>
        </w:tc>
        <w:tc>
          <w:tcPr>
            <w:tcW w:w="992" w:type="dxa"/>
            <w:tcBorders>
              <w:right w:val="single" w:color="auto" w:sz="4" w:space="0"/>
            </w:tcBorders>
            <w:vAlign w:val="center"/>
          </w:tcPr>
          <w:p w14:paraId="29763C4C">
            <w:pPr>
              <w:rPr>
                <w:rFonts w:ascii="宋体" w:hAnsi="宋体" w:cs="宋体"/>
              </w:rPr>
            </w:pPr>
            <w:r>
              <w:rPr>
                <w:rFonts w:hint="eastAsia" w:ascii="宋体" w:hAnsi="宋体" w:cs="宋体"/>
              </w:rPr>
              <w:t>秦翡</w:t>
            </w:r>
          </w:p>
        </w:tc>
        <w:tc>
          <w:tcPr>
            <w:tcW w:w="1970" w:type="dxa"/>
            <w:tcBorders>
              <w:left w:val="single" w:color="auto" w:sz="4" w:space="0"/>
              <w:right w:val="single" w:color="auto" w:sz="4" w:space="0"/>
            </w:tcBorders>
            <w:vAlign w:val="center"/>
          </w:tcPr>
          <w:p w14:paraId="37F3F358">
            <w:pPr>
              <w:rPr>
                <w:rFonts w:ascii="宋体" w:hAnsi="宋体" w:cs="宋体"/>
              </w:rPr>
            </w:pPr>
            <w:r>
              <w:rPr>
                <w:rFonts w:hint="eastAsia" w:ascii="宋体" w:hAnsi="宋体" w:cs="宋体"/>
              </w:rPr>
              <w:t>中远海运港口有限公司</w:t>
            </w:r>
          </w:p>
        </w:tc>
        <w:tc>
          <w:tcPr>
            <w:tcW w:w="1276" w:type="dxa"/>
            <w:tcBorders>
              <w:left w:val="single" w:color="auto" w:sz="4" w:space="0"/>
              <w:right w:val="single" w:color="auto" w:sz="4" w:space="0"/>
            </w:tcBorders>
            <w:vAlign w:val="center"/>
          </w:tcPr>
          <w:p w14:paraId="24CB589A">
            <w:pPr>
              <w:rPr>
                <w:rFonts w:ascii="宋体" w:hAnsi="宋体" w:cs="宋体"/>
              </w:rPr>
            </w:pPr>
            <w:r>
              <w:rPr>
                <w:rFonts w:hint="eastAsia" w:ascii="宋体" w:hAnsi="宋体" w:cs="宋体"/>
              </w:rPr>
              <w:t>高级经营师</w:t>
            </w:r>
          </w:p>
        </w:tc>
        <w:tc>
          <w:tcPr>
            <w:tcW w:w="3417" w:type="dxa"/>
            <w:tcBorders>
              <w:left w:val="single" w:color="auto" w:sz="4" w:space="0"/>
            </w:tcBorders>
          </w:tcPr>
          <w:p w14:paraId="2812D96C">
            <w:pPr>
              <w:jc w:val="center"/>
            </w:pPr>
            <w:r>
              <w:rPr>
                <w:rFonts w:hint="eastAsia" w:ascii="宋体" w:hAnsi="宋体" w:cs="宋体"/>
              </w:rPr>
              <w:t>负责标准技术调研、自动化技术指标体系建设，主导第</w:t>
            </w:r>
            <w:r>
              <w:t>5</w:t>
            </w:r>
            <w:r>
              <w:rPr>
                <w:rFonts w:hint="eastAsia" w:ascii="宋体" w:hAnsi="宋体" w:cs="宋体"/>
              </w:rPr>
              <w:t>、</w:t>
            </w:r>
            <w:r>
              <w:t>6</w:t>
            </w:r>
            <w:r>
              <w:rPr>
                <w:rFonts w:hint="eastAsia" w:ascii="宋体" w:hAnsi="宋体" w:cs="宋体"/>
              </w:rPr>
              <w:t>章具体技术指标内容的编制与审核</w:t>
            </w:r>
            <w:r>
              <w:rPr>
                <w:rFonts w:hint="eastAsia"/>
              </w:rPr>
              <w:t>。</w:t>
            </w:r>
          </w:p>
        </w:tc>
      </w:tr>
      <w:tr w14:paraId="2CCB9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0AE51CBC">
            <w:pPr>
              <w:rPr>
                <w:rFonts w:hint="eastAsia"/>
              </w:rPr>
            </w:pPr>
            <w:r>
              <w:rPr>
                <w:rFonts w:hint="eastAsia"/>
              </w:rPr>
              <w:t>3</w:t>
            </w:r>
          </w:p>
        </w:tc>
        <w:tc>
          <w:tcPr>
            <w:tcW w:w="992" w:type="dxa"/>
            <w:tcBorders>
              <w:right w:val="single" w:color="auto" w:sz="4" w:space="0"/>
            </w:tcBorders>
            <w:vAlign w:val="center"/>
          </w:tcPr>
          <w:p w14:paraId="128C0F13">
            <w:pPr>
              <w:rPr>
                <w:rFonts w:ascii="宋体" w:hAnsi="宋体" w:cs="宋体"/>
              </w:rPr>
            </w:pPr>
            <w:r>
              <w:rPr>
                <w:rFonts w:hint="eastAsia" w:ascii="宋体" w:hAnsi="宋体" w:cs="宋体"/>
              </w:rPr>
              <w:t>赵斌</w:t>
            </w:r>
          </w:p>
        </w:tc>
        <w:tc>
          <w:tcPr>
            <w:tcW w:w="1970" w:type="dxa"/>
            <w:tcBorders>
              <w:left w:val="single" w:color="auto" w:sz="4" w:space="0"/>
              <w:right w:val="single" w:color="auto" w:sz="4" w:space="0"/>
            </w:tcBorders>
            <w:vAlign w:val="center"/>
          </w:tcPr>
          <w:p w14:paraId="222AF6EA">
            <w:pPr>
              <w:rPr>
                <w:rFonts w:ascii="宋体" w:hAnsi="宋体" w:cs="宋体"/>
              </w:rPr>
            </w:pPr>
            <w:r>
              <w:rPr>
                <w:rFonts w:hint="eastAsia" w:ascii="宋体" w:hAnsi="宋体" w:cs="宋体"/>
              </w:rPr>
              <w:t>上海振华重工（集团）股份有限公司</w:t>
            </w:r>
          </w:p>
        </w:tc>
        <w:tc>
          <w:tcPr>
            <w:tcW w:w="1276" w:type="dxa"/>
            <w:tcBorders>
              <w:left w:val="single" w:color="auto" w:sz="4" w:space="0"/>
              <w:right w:val="single" w:color="auto" w:sz="4" w:space="0"/>
            </w:tcBorders>
            <w:vAlign w:val="center"/>
          </w:tcPr>
          <w:p w14:paraId="654F2C86">
            <w:pPr>
              <w:rPr>
                <w:rFonts w:ascii="宋体" w:hAnsi="宋体" w:cs="宋体"/>
              </w:rPr>
            </w:pPr>
            <w:r>
              <w:rPr>
                <w:rFonts w:hint="eastAsia" w:ascii="宋体" w:hAnsi="宋体" w:cs="宋体"/>
              </w:rPr>
              <w:t>正高级工程师</w:t>
            </w:r>
          </w:p>
        </w:tc>
        <w:tc>
          <w:tcPr>
            <w:tcW w:w="3417" w:type="dxa"/>
            <w:tcBorders>
              <w:left w:val="single" w:color="auto" w:sz="4" w:space="0"/>
            </w:tcBorders>
          </w:tcPr>
          <w:p w14:paraId="296BEF64">
            <w:pPr>
              <w:jc w:val="center"/>
            </w:pPr>
            <w:r>
              <w:rPr>
                <w:rFonts w:hint="eastAsia" w:ascii="宋体" w:hAnsi="宋体" w:cs="宋体"/>
              </w:rPr>
              <w:t>提供现场操作经验，参与标准</w:t>
            </w:r>
            <w:r>
              <w:t>1</w:t>
            </w:r>
            <w:r>
              <w:rPr>
                <w:rFonts w:hint="eastAsia" w:ascii="宋体" w:hAnsi="宋体" w:cs="宋体"/>
              </w:rPr>
              <w:t>至</w:t>
            </w:r>
            <w:r>
              <w:t>4</w:t>
            </w:r>
            <w:r>
              <w:rPr>
                <w:rFonts w:hint="eastAsia" w:ascii="宋体" w:hAnsi="宋体" w:cs="宋体"/>
              </w:rPr>
              <w:t>章的编写与审查，提出实际运营方面的建设性建议</w:t>
            </w:r>
            <w:r>
              <w:rPr>
                <w:rFonts w:hint="eastAsia"/>
              </w:rPr>
              <w:t>。</w:t>
            </w:r>
          </w:p>
        </w:tc>
      </w:tr>
      <w:tr w14:paraId="2BA45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19CFC332">
            <w:pPr>
              <w:rPr>
                <w:rFonts w:hint="eastAsia"/>
              </w:rPr>
            </w:pPr>
            <w:r>
              <w:rPr>
                <w:rFonts w:hint="eastAsia"/>
              </w:rPr>
              <w:t>4</w:t>
            </w:r>
          </w:p>
        </w:tc>
        <w:tc>
          <w:tcPr>
            <w:tcW w:w="992" w:type="dxa"/>
            <w:tcBorders>
              <w:right w:val="single" w:color="auto" w:sz="4" w:space="0"/>
            </w:tcBorders>
            <w:vAlign w:val="center"/>
          </w:tcPr>
          <w:p w14:paraId="52801560">
            <w:pPr>
              <w:rPr>
                <w:rFonts w:ascii="宋体" w:hAnsi="宋体" w:cs="宋体"/>
              </w:rPr>
            </w:pPr>
            <w:r>
              <w:rPr>
                <w:rFonts w:hint="eastAsia" w:ascii="宋体" w:hAnsi="宋体" w:cs="宋体"/>
              </w:rPr>
              <w:t>杨勇生</w:t>
            </w:r>
          </w:p>
        </w:tc>
        <w:tc>
          <w:tcPr>
            <w:tcW w:w="1970" w:type="dxa"/>
            <w:tcBorders>
              <w:left w:val="single" w:color="auto" w:sz="4" w:space="0"/>
              <w:right w:val="single" w:color="auto" w:sz="4" w:space="0"/>
            </w:tcBorders>
            <w:vAlign w:val="center"/>
          </w:tcPr>
          <w:p w14:paraId="16C0F744">
            <w:pPr>
              <w:rPr>
                <w:rFonts w:ascii="宋体" w:hAnsi="宋体" w:cs="宋体"/>
              </w:rPr>
            </w:pPr>
            <w:r>
              <w:rPr>
                <w:rFonts w:hint="eastAsia" w:ascii="宋体" w:hAnsi="宋体" w:cs="宋体"/>
              </w:rPr>
              <w:t>上海海事大学</w:t>
            </w:r>
          </w:p>
        </w:tc>
        <w:tc>
          <w:tcPr>
            <w:tcW w:w="1276" w:type="dxa"/>
            <w:tcBorders>
              <w:left w:val="single" w:color="auto" w:sz="4" w:space="0"/>
              <w:right w:val="single" w:color="auto" w:sz="4" w:space="0"/>
            </w:tcBorders>
            <w:vAlign w:val="center"/>
          </w:tcPr>
          <w:p w14:paraId="03DABB0E">
            <w:pPr>
              <w:rPr>
                <w:rFonts w:ascii="宋体" w:hAnsi="宋体" w:cs="宋体"/>
              </w:rPr>
            </w:pPr>
            <w:r>
              <w:rPr>
                <w:rFonts w:hint="eastAsia" w:ascii="宋体" w:hAnsi="宋体" w:cs="宋体"/>
              </w:rPr>
              <w:t>教授</w:t>
            </w:r>
          </w:p>
        </w:tc>
        <w:tc>
          <w:tcPr>
            <w:tcW w:w="3417" w:type="dxa"/>
            <w:tcBorders>
              <w:left w:val="single" w:color="auto" w:sz="4" w:space="0"/>
            </w:tcBorders>
          </w:tcPr>
          <w:p w14:paraId="7946C945">
            <w:pPr>
              <w:jc w:val="center"/>
            </w:pPr>
            <w:r>
              <w:rPr>
                <w:rFonts w:hint="eastAsia" w:ascii="宋体" w:hAnsi="宋体" w:cs="宋体"/>
              </w:rPr>
              <w:t>协助完成标准技术调研、技术指标体系建设。</w:t>
            </w:r>
          </w:p>
        </w:tc>
      </w:tr>
      <w:tr w14:paraId="693F9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5B9CD300">
            <w:pPr>
              <w:rPr>
                <w:rFonts w:hint="eastAsia"/>
              </w:rPr>
            </w:pPr>
            <w:r>
              <w:rPr>
                <w:rFonts w:hint="eastAsia"/>
              </w:rPr>
              <w:t>5</w:t>
            </w:r>
          </w:p>
        </w:tc>
        <w:tc>
          <w:tcPr>
            <w:tcW w:w="992" w:type="dxa"/>
            <w:tcBorders>
              <w:right w:val="single" w:color="auto" w:sz="4" w:space="0"/>
            </w:tcBorders>
            <w:vAlign w:val="center"/>
          </w:tcPr>
          <w:p w14:paraId="2A579A64">
            <w:pPr>
              <w:rPr>
                <w:rFonts w:ascii="宋体" w:hAnsi="宋体" w:cs="宋体"/>
              </w:rPr>
            </w:pPr>
            <w:r>
              <w:rPr>
                <w:rFonts w:hint="eastAsia" w:ascii="宋体" w:hAnsi="宋体" w:cs="宋体"/>
              </w:rPr>
              <w:t>祝绍嵩</w:t>
            </w:r>
          </w:p>
        </w:tc>
        <w:tc>
          <w:tcPr>
            <w:tcW w:w="1970" w:type="dxa"/>
            <w:tcBorders>
              <w:left w:val="single" w:color="auto" w:sz="4" w:space="0"/>
              <w:right w:val="single" w:color="auto" w:sz="4" w:space="0"/>
            </w:tcBorders>
            <w:vAlign w:val="center"/>
          </w:tcPr>
          <w:p w14:paraId="7DCABDAC">
            <w:pPr>
              <w:rPr>
                <w:rFonts w:ascii="宋体" w:hAnsi="宋体" w:cs="宋体"/>
              </w:rPr>
            </w:pPr>
            <w:r>
              <w:rPr>
                <w:rFonts w:hint="eastAsia" w:ascii="宋体" w:hAnsi="宋体" w:cs="宋体"/>
              </w:rPr>
              <w:t>自动化码头技术交通运输行业研发中心（中远海运港口有限公司）</w:t>
            </w:r>
          </w:p>
        </w:tc>
        <w:tc>
          <w:tcPr>
            <w:tcW w:w="1276" w:type="dxa"/>
            <w:tcBorders>
              <w:left w:val="single" w:color="auto" w:sz="4" w:space="0"/>
              <w:right w:val="single" w:color="auto" w:sz="4" w:space="0"/>
            </w:tcBorders>
            <w:vAlign w:val="center"/>
          </w:tcPr>
          <w:p w14:paraId="65DB7D66">
            <w:pPr>
              <w:rPr>
                <w:rFonts w:ascii="宋体" w:hAnsi="宋体" w:cs="宋体"/>
              </w:rPr>
            </w:pPr>
            <w:r>
              <w:rPr>
                <w:rFonts w:hint="eastAsia" w:ascii="宋体" w:hAnsi="宋体" w:cs="宋体"/>
              </w:rPr>
              <w:t>工程师</w:t>
            </w:r>
          </w:p>
        </w:tc>
        <w:tc>
          <w:tcPr>
            <w:tcW w:w="3417" w:type="dxa"/>
            <w:tcBorders>
              <w:left w:val="single" w:color="auto" w:sz="4" w:space="0"/>
            </w:tcBorders>
          </w:tcPr>
          <w:p w14:paraId="30668D18">
            <w:pPr>
              <w:jc w:val="center"/>
            </w:pPr>
            <w:r>
              <w:rPr>
                <w:rFonts w:hint="eastAsia" w:ascii="宋体" w:hAnsi="宋体" w:cs="宋体"/>
              </w:rPr>
              <w:t>参与标准第</w:t>
            </w:r>
            <w:r>
              <w:t>5</w:t>
            </w:r>
            <w:r>
              <w:rPr>
                <w:rFonts w:hint="eastAsia" w:ascii="宋体" w:hAnsi="宋体" w:cs="宋体"/>
              </w:rPr>
              <w:t>、</w:t>
            </w:r>
            <w:r>
              <w:t>6</w:t>
            </w:r>
            <w:r>
              <w:rPr>
                <w:rFonts w:hint="eastAsia" w:ascii="宋体" w:hAnsi="宋体" w:cs="宋体"/>
              </w:rPr>
              <w:t>章技术要求的研究与编制，具体负责设备技术指标的审核与细化</w:t>
            </w:r>
            <w:r>
              <w:rPr>
                <w:rFonts w:hint="eastAsia"/>
              </w:rPr>
              <w:t>。</w:t>
            </w:r>
          </w:p>
        </w:tc>
      </w:tr>
      <w:tr w14:paraId="48002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48E212ED">
            <w:pPr>
              <w:rPr>
                <w:rFonts w:hint="eastAsia"/>
              </w:rPr>
            </w:pPr>
            <w:r>
              <w:rPr>
                <w:rFonts w:hint="eastAsia"/>
              </w:rPr>
              <w:t>6</w:t>
            </w:r>
          </w:p>
        </w:tc>
        <w:tc>
          <w:tcPr>
            <w:tcW w:w="992" w:type="dxa"/>
            <w:tcBorders>
              <w:right w:val="single" w:color="auto" w:sz="4" w:space="0"/>
            </w:tcBorders>
            <w:vAlign w:val="center"/>
          </w:tcPr>
          <w:p w14:paraId="23FCE252">
            <w:pPr>
              <w:rPr>
                <w:rFonts w:ascii="宋体" w:hAnsi="宋体" w:cs="宋体"/>
              </w:rPr>
            </w:pPr>
            <w:r>
              <w:rPr>
                <w:rFonts w:hint="eastAsia" w:ascii="宋体" w:hAnsi="宋体" w:cs="宋体"/>
              </w:rPr>
              <w:t>曾建维</w:t>
            </w:r>
          </w:p>
        </w:tc>
        <w:tc>
          <w:tcPr>
            <w:tcW w:w="1970" w:type="dxa"/>
            <w:tcBorders>
              <w:left w:val="single" w:color="auto" w:sz="4" w:space="0"/>
              <w:right w:val="single" w:color="auto" w:sz="4" w:space="0"/>
            </w:tcBorders>
            <w:vAlign w:val="center"/>
          </w:tcPr>
          <w:p w14:paraId="37831D8F">
            <w:pPr>
              <w:rPr>
                <w:rFonts w:ascii="宋体" w:hAnsi="宋体" w:cs="宋体"/>
              </w:rPr>
            </w:pPr>
            <w:r>
              <w:rPr>
                <w:rFonts w:hint="eastAsia" w:ascii="宋体" w:hAnsi="宋体" w:cs="宋体"/>
              </w:rPr>
              <w:t>厦门远海集装箱码头有限公司</w:t>
            </w:r>
          </w:p>
        </w:tc>
        <w:tc>
          <w:tcPr>
            <w:tcW w:w="1276" w:type="dxa"/>
            <w:tcBorders>
              <w:left w:val="single" w:color="auto" w:sz="4" w:space="0"/>
              <w:right w:val="single" w:color="auto" w:sz="4" w:space="0"/>
            </w:tcBorders>
            <w:vAlign w:val="center"/>
          </w:tcPr>
          <w:p w14:paraId="3C11D283">
            <w:pPr>
              <w:rPr>
                <w:rFonts w:ascii="宋体" w:hAnsi="宋体" w:cs="宋体"/>
              </w:rPr>
            </w:pPr>
            <w:r>
              <w:rPr>
                <w:rFonts w:hint="eastAsia" w:ascii="宋体" w:hAnsi="宋体" w:cs="宋体"/>
              </w:rPr>
              <w:t>工程师</w:t>
            </w:r>
          </w:p>
        </w:tc>
        <w:tc>
          <w:tcPr>
            <w:tcW w:w="3417" w:type="dxa"/>
            <w:tcBorders>
              <w:left w:val="single" w:color="auto" w:sz="4" w:space="0"/>
            </w:tcBorders>
          </w:tcPr>
          <w:p w14:paraId="12C5C415">
            <w:pPr>
              <w:jc w:val="center"/>
            </w:pPr>
            <w:r>
              <w:rPr>
                <w:rFonts w:hint="eastAsia" w:ascii="宋体" w:hAnsi="宋体" w:cs="宋体"/>
              </w:rPr>
              <w:t>负责标准中信息化与网络通信部分（第</w:t>
            </w:r>
            <w:r>
              <w:t>6</w:t>
            </w:r>
            <w:r>
              <w:rPr>
                <w:rFonts w:hint="eastAsia" w:ascii="宋体" w:hAnsi="宋体" w:cs="宋体"/>
              </w:rPr>
              <w:t>章）的技术指标研究与编制</w:t>
            </w:r>
            <w:r>
              <w:rPr>
                <w:rFonts w:hint="eastAsia"/>
              </w:rPr>
              <w:t>。</w:t>
            </w:r>
          </w:p>
        </w:tc>
      </w:tr>
      <w:tr w14:paraId="79FC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47FD5435">
            <w:pPr>
              <w:rPr>
                <w:rFonts w:hint="eastAsia"/>
              </w:rPr>
            </w:pPr>
            <w:r>
              <w:rPr>
                <w:rFonts w:hint="eastAsia"/>
              </w:rPr>
              <w:t>7</w:t>
            </w:r>
          </w:p>
        </w:tc>
        <w:tc>
          <w:tcPr>
            <w:tcW w:w="992" w:type="dxa"/>
            <w:tcBorders>
              <w:right w:val="single" w:color="auto" w:sz="4" w:space="0"/>
            </w:tcBorders>
            <w:vAlign w:val="center"/>
          </w:tcPr>
          <w:p w14:paraId="5C946319">
            <w:pPr>
              <w:rPr>
                <w:rFonts w:ascii="宋体" w:hAnsi="宋体" w:cs="宋体"/>
              </w:rPr>
            </w:pPr>
            <w:r>
              <w:rPr>
                <w:rFonts w:hint="eastAsia" w:ascii="宋体" w:hAnsi="宋体" w:cs="宋体"/>
              </w:rPr>
              <w:t>陈建军</w:t>
            </w:r>
          </w:p>
        </w:tc>
        <w:tc>
          <w:tcPr>
            <w:tcW w:w="1970" w:type="dxa"/>
            <w:tcBorders>
              <w:left w:val="single" w:color="auto" w:sz="4" w:space="0"/>
              <w:right w:val="single" w:color="auto" w:sz="4" w:space="0"/>
            </w:tcBorders>
            <w:vAlign w:val="center"/>
          </w:tcPr>
          <w:p w14:paraId="43AA9ADC">
            <w:pPr>
              <w:rPr>
                <w:rFonts w:ascii="宋体" w:hAnsi="宋体" w:cs="宋体"/>
              </w:rPr>
            </w:pPr>
            <w:r>
              <w:rPr>
                <w:rFonts w:hint="eastAsia" w:ascii="宋体" w:hAnsi="宋体" w:cs="宋体"/>
              </w:rPr>
              <w:t>厦门远海集装箱码头有限公司</w:t>
            </w:r>
          </w:p>
        </w:tc>
        <w:tc>
          <w:tcPr>
            <w:tcW w:w="1276" w:type="dxa"/>
            <w:tcBorders>
              <w:left w:val="single" w:color="auto" w:sz="4" w:space="0"/>
              <w:right w:val="single" w:color="auto" w:sz="4" w:space="0"/>
            </w:tcBorders>
            <w:vAlign w:val="center"/>
          </w:tcPr>
          <w:p w14:paraId="0303CF87">
            <w:pPr>
              <w:rPr>
                <w:rFonts w:ascii="宋体" w:hAnsi="宋体" w:cs="宋体"/>
              </w:rPr>
            </w:pPr>
            <w:r>
              <w:rPr>
                <w:rFonts w:hint="eastAsia" w:ascii="宋体" w:hAnsi="宋体" w:cs="宋体"/>
              </w:rPr>
              <w:t>工程师</w:t>
            </w:r>
          </w:p>
        </w:tc>
        <w:tc>
          <w:tcPr>
            <w:tcW w:w="3417" w:type="dxa"/>
            <w:tcBorders>
              <w:left w:val="single" w:color="auto" w:sz="4" w:space="0"/>
            </w:tcBorders>
          </w:tcPr>
          <w:p w14:paraId="443D2D35">
            <w:pPr>
              <w:jc w:val="center"/>
            </w:pPr>
            <w:r>
              <w:rPr>
                <w:rFonts w:hint="eastAsia" w:ascii="宋体" w:hAnsi="宋体" w:cs="宋体"/>
              </w:rPr>
              <w:t>参与设备技术需求调研，协助编制标准技术指标内容（第</w:t>
            </w:r>
            <w:r>
              <w:t>5</w:t>
            </w:r>
            <w:r>
              <w:rPr>
                <w:rFonts w:hint="eastAsia" w:ascii="宋体" w:hAnsi="宋体" w:cs="宋体"/>
              </w:rPr>
              <w:t>、</w:t>
            </w:r>
            <w:r>
              <w:t>6</w:t>
            </w:r>
            <w:r>
              <w:rPr>
                <w:rFonts w:hint="eastAsia" w:ascii="宋体" w:hAnsi="宋体" w:cs="宋体"/>
              </w:rPr>
              <w:t>章）</w:t>
            </w:r>
            <w:r>
              <w:rPr>
                <w:rFonts w:hint="eastAsia"/>
              </w:rPr>
              <w:t>。</w:t>
            </w:r>
          </w:p>
        </w:tc>
      </w:tr>
      <w:tr w14:paraId="6FFB9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59B6AD3F">
            <w:pPr>
              <w:rPr>
                <w:rFonts w:hint="eastAsia"/>
              </w:rPr>
            </w:pPr>
            <w:r>
              <w:rPr>
                <w:rFonts w:hint="eastAsia"/>
              </w:rPr>
              <w:t>8</w:t>
            </w:r>
          </w:p>
        </w:tc>
        <w:tc>
          <w:tcPr>
            <w:tcW w:w="992" w:type="dxa"/>
            <w:tcBorders>
              <w:right w:val="single" w:color="auto" w:sz="4" w:space="0"/>
            </w:tcBorders>
            <w:vAlign w:val="center"/>
          </w:tcPr>
          <w:p w14:paraId="50212320">
            <w:pPr>
              <w:rPr>
                <w:rFonts w:ascii="宋体" w:hAnsi="宋体" w:cs="宋体"/>
              </w:rPr>
            </w:pPr>
            <w:r>
              <w:rPr>
                <w:rFonts w:hint="eastAsia" w:ascii="宋体" w:hAnsi="宋体" w:cs="宋体"/>
              </w:rPr>
              <w:t>鲜江峰</w:t>
            </w:r>
          </w:p>
        </w:tc>
        <w:tc>
          <w:tcPr>
            <w:tcW w:w="1970" w:type="dxa"/>
            <w:tcBorders>
              <w:left w:val="single" w:color="auto" w:sz="4" w:space="0"/>
              <w:right w:val="single" w:color="auto" w:sz="4" w:space="0"/>
            </w:tcBorders>
            <w:vAlign w:val="center"/>
          </w:tcPr>
          <w:p w14:paraId="224D6947">
            <w:pPr>
              <w:rPr>
                <w:rFonts w:ascii="宋体" w:hAnsi="宋体" w:cs="宋体"/>
              </w:rPr>
            </w:pPr>
            <w:r>
              <w:rPr>
                <w:rFonts w:hint="eastAsia" w:ascii="宋体" w:hAnsi="宋体" w:cs="宋体"/>
              </w:rPr>
              <w:t>上海海事大学</w:t>
            </w:r>
          </w:p>
        </w:tc>
        <w:tc>
          <w:tcPr>
            <w:tcW w:w="1276" w:type="dxa"/>
            <w:tcBorders>
              <w:left w:val="single" w:color="auto" w:sz="4" w:space="0"/>
              <w:right w:val="single" w:color="auto" w:sz="4" w:space="0"/>
            </w:tcBorders>
            <w:vAlign w:val="center"/>
          </w:tcPr>
          <w:p w14:paraId="0ECC9CCA">
            <w:pPr>
              <w:rPr>
                <w:rFonts w:ascii="宋体" w:hAnsi="宋体" w:cs="宋体"/>
              </w:rPr>
            </w:pPr>
            <w:r>
              <w:rPr>
                <w:rFonts w:hint="eastAsia" w:ascii="宋体" w:hAnsi="宋体" w:cs="宋体"/>
              </w:rPr>
              <w:t>讲师</w:t>
            </w:r>
          </w:p>
        </w:tc>
        <w:tc>
          <w:tcPr>
            <w:tcW w:w="3417" w:type="dxa"/>
            <w:tcBorders>
              <w:left w:val="single" w:color="auto" w:sz="4" w:space="0"/>
            </w:tcBorders>
          </w:tcPr>
          <w:p w14:paraId="5AA7BC9C">
            <w:pPr>
              <w:jc w:val="center"/>
            </w:pPr>
            <w:r>
              <w:rPr>
                <w:rFonts w:hint="eastAsia" w:ascii="宋体" w:hAnsi="宋体" w:cs="宋体"/>
              </w:rPr>
              <w:t>负责行业技术需求调研与分析，参与技术内容审查、技术指标的确定</w:t>
            </w:r>
            <w:r>
              <w:rPr>
                <w:rFonts w:hint="eastAsia"/>
              </w:rPr>
              <w:t>。</w:t>
            </w:r>
          </w:p>
        </w:tc>
      </w:tr>
      <w:tr w14:paraId="2F3E4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218088F3">
            <w:pPr>
              <w:rPr>
                <w:rFonts w:hint="eastAsia"/>
              </w:rPr>
            </w:pPr>
            <w:r>
              <w:rPr>
                <w:rFonts w:hint="eastAsia"/>
              </w:rPr>
              <w:t>9</w:t>
            </w:r>
          </w:p>
        </w:tc>
        <w:tc>
          <w:tcPr>
            <w:tcW w:w="992" w:type="dxa"/>
            <w:tcBorders>
              <w:right w:val="single" w:color="auto" w:sz="4" w:space="0"/>
            </w:tcBorders>
            <w:vAlign w:val="center"/>
          </w:tcPr>
          <w:p w14:paraId="5B12A453">
            <w:pPr>
              <w:rPr>
                <w:rFonts w:ascii="宋体" w:hAnsi="宋体" w:cs="宋体"/>
              </w:rPr>
            </w:pPr>
            <w:r>
              <w:rPr>
                <w:rFonts w:hint="eastAsia" w:ascii="宋体" w:hAnsi="宋体" w:cs="宋体"/>
              </w:rPr>
              <w:t>曹宇</w:t>
            </w:r>
          </w:p>
        </w:tc>
        <w:tc>
          <w:tcPr>
            <w:tcW w:w="1970" w:type="dxa"/>
            <w:tcBorders>
              <w:left w:val="single" w:color="auto" w:sz="4" w:space="0"/>
              <w:right w:val="single" w:color="auto" w:sz="4" w:space="0"/>
            </w:tcBorders>
            <w:vAlign w:val="center"/>
          </w:tcPr>
          <w:p w14:paraId="7536DA04">
            <w:pPr>
              <w:rPr>
                <w:rFonts w:ascii="宋体" w:hAnsi="宋体" w:cs="宋体"/>
              </w:rPr>
            </w:pPr>
            <w:r>
              <w:rPr>
                <w:rFonts w:hint="eastAsia" w:ascii="宋体" w:hAnsi="宋体" w:cs="宋体"/>
              </w:rPr>
              <w:t>厦门远海集装箱码头有限公司</w:t>
            </w:r>
          </w:p>
        </w:tc>
        <w:tc>
          <w:tcPr>
            <w:tcW w:w="1276" w:type="dxa"/>
            <w:tcBorders>
              <w:left w:val="single" w:color="auto" w:sz="4" w:space="0"/>
              <w:right w:val="single" w:color="auto" w:sz="4" w:space="0"/>
            </w:tcBorders>
            <w:vAlign w:val="center"/>
          </w:tcPr>
          <w:p w14:paraId="5456D1CC">
            <w:pPr>
              <w:rPr>
                <w:rFonts w:ascii="宋体" w:hAnsi="宋体" w:cs="宋体"/>
              </w:rPr>
            </w:pPr>
            <w:r>
              <w:rPr>
                <w:rFonts w:hint="eastAsia" w:ascii="宋体" w:hAnsi="宋体" w:cs="宋体"/>
              </w:rPr>
              <w:t>工程师</w:t>
            </w:r>
          </w:p>
        </w:tc>
        <w:tc>
          <w:tcPr>
            <w:tcW w:w="3417" w:type="dxa"/>
            <w:tcBorders>
              <w:left w:val="single" w:color="auto" w:sz="4" w:space="0"/>
            </w:tcBorders>
          </w:tcPr>
          <w:p w14:paraId="21BB732D">
            <w:pPr>
              <w:jc w:val="center"/>
            </w:pPr>
            <w:r>
              <w:rPr>
                <w:rFonts w:hint="eastAsia" w:ascii="宋体" w:hAnsi="宋体" w:cs="宋体"/>
              </w:rPr>
              <w:t>协助进行自动化技术体系构建，参与技术内容与指标的审核</w:t>
            </w:r>
            <w:r>
              <w:rPr>
                <w:rFonts w:hint="eastAsia"/>
              </w:rPr>
              <w:t>。</w:t>
            </w:r>
          </w:p>
        </w:tc>
      </w:tr>
      <w:tr w14:paraId="69B67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0E143BA9">
            <w:pPr>
              <w:rPr>
                <w:rFonts w:hint="eastAsia"/>
              </w:rPr>
            </w:pPr>
            <w:r>
              <w:t>1</w:t>
            </w:r>
            <w:r>
              <w:rPr>
                <w:rFonts w:hint="eastAsia"/>
              </w:rPr>
              <w:t>0</w:t>
            </w:r>
          </w:p>
        </w:tc>
        <w:tc>
          <w:tcPr>
            <w:tcW w:w="992" w:type="dxa"/>
            <w:tcBorders>
              <w:right w:val="single" w:color="auto" w:sz="4" w:space="0"/>
            </w:tcBorders>
            <w:vAlign w:val="center"/>
          </w:tcPr>
          <w:p w14:paraId="3941763F">
            <w:pPr>
              <w:rPr>
                <w:rFonts w:ascii="宋体" w:hAnsi="宋体" w:cs="宋体"/>
              </w:rPr>
            </w:pPr>
            <w:r>
              <w:rPr>
                <w:rFonts w:hint="eastAsia" w:ascii="宋体" w:hAnsi="宋体" w:cs="宋体"/>
              </w:rPr>
              <w:t>彭晓光</w:t>
            </w:r>
          </w:p>
        </w:tc>
        <w:tc>
          <w:tcPr>
            <w:tcW w:w="1970" w:type="dxa"/>
            <w:tcBorders>
              <w:left w:val="single" w:color="auto" w:sz="4" w:space="0"/>
              <w:right w:val="single" w:color="auto" w:sz="4" w:space="0"/>
            </w:tcBorders>
          </w:tcPr>
          <w:p w14:paraId="1F621D0A">
            <w:pPr>
              <w:rPr>
                <w:rFonts w:ascii="宋体" w:hAnsi="宋体" w:cs="宋体"/>
              </w:rPr>
            </w:pPr>
            <w:r>
              <w:rPr>
                <w:rFonts w:hint="eastAsia" w:ascii="宋体" w:hAnsi="宋体" w:cs="宋体"/>
              </w:rPr>
              <w:t>中远海运港口有限公司</w:t>
            </w:r>
          </w:p>
        </w:tc>
        <w:tc>
          <w:tcPr>
            <w:tcW w:w="1276" w:type="dxa"/>
            <w:tcBorders>
              <w:left w:val="single" w:color="auto" w:sz="4" w:space="0"/>
              <w:right w:val="single" w:color="auto" w:sz="4" w:space="0"/>
            </w:tcBorders>
            <w:vAlign w:val="center"/>
          </w:tcPr>
          <w:p w14:paraId="1200CD6C">
            <w:pPr>
              <w:rPr>
                <w:rFonts w:ascii="宋体" w:hAnsi="宋体" w:cs="宋体"/>
              </w:rPr>
            </w:pPr>
            <w:r>
              <w:rPr>
                <w:rFonts w:hint="eastAsia" w:ascii="宋体" w:hAnsi="宋体" w:cs="宋体"/>
              </w:rPr>
              <w:t>高级工程师</w:t>
            </w:r>
          </w:p>
        </w:tc>
        <w:tc>
          <w:tcPr>
            <w:tcW w:w="3417" w:type="dxa"/>
            <w:tcBorders>
              <w:left w:val="single" w:color="auto" w:sz="4" w:space="0"/>
            </w:tcBorders>
          </w:tcPr>
          <w:p w14:paraId="43D551F8">
            <w:pPr>
              <w:jc w:val="center"/>
            </w:pPr>
            <w:r>
              <w:rPr>
                <w:rFonts w:hint="eastAsia" w:ascii="宋体" w:hAnsi="宋体" w:cs="宋体"/>
              </w:rPr>
              <w:t>参与自动化技术标准体系建设，具体负责自动化技术要求（第</w:t>
            </w:r>
            <w:r>
              <w:t>6</w:t>
            </w:r>
            <w:r>
              <w:rPr>
                <w:rFonts w:hint="eastAsia" w:ascii="宋体" w:hAnsi="宋体" w:cs="宋体"/>
              </w:rPr>
              <w:t>章）的编制</w:t>
            </w:r>
            <w:r>
              <w:rPr>
                <w:rFonts w:hint="eastAsia"/>
              </w:rPr>
              <w:t>。</w:t>
            </w:r>
          </w:p>
        </w:tc>
      </w:tr>
      <w:tr w14:paraId="43BB9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2D2F628F">
            <w:pPr>
              <w:rPr>
                <w:rFonts w:hint="eastAsia"/>
              </w:rPr>
            </w:pPr>
            <w:r>
              <w:t>1</w:t>
            </w:r>
            <w:r>
              <w:rPr>
                <w:rFonts w:hint="eastAsia"/>
              </w:rPr>
              <w:t>1</w:t>
            </w:r>
          </w:p>
        </w:tc>
        <w:tc>
          <w:tcPr>
            <w:tcW w:w="992" w:type="dxa"/>
            <w:tcBorders>
              <w:right w:val="single" w:color="auto" w:sz="4" w:space="0"/>
            </w:tcBorders>
            <w:vAlign w:val="center"/>
          </w:tcPr>
          <w:p w14:paraId="0DE4D534">
            <w:pPr>
              <w:rPr>
                <w:rFonts w:ascii="宋体" w:hAnsi="宋体" w:cs="宋体"/>
              </w:rPr>
            </w:pPr>
            <w:r>
              <w:rPr>
                <w:rFonts w:hint="eastAsia" w:ascii="宋体" w:hAnsi="宋体" w:cs="宋体"/>
              </w:rPr>
              <w:t>孙滔然</w:t>
            </w:r>
          </w:p>
        </w:tc>
        <w:tc>
          <w:tcPr>
            <w:tcW w:w="1970" w:type="dxa"/>
            <w:tcBorders>
              <w:left w:val="single" w:color="auto" w:sz="4" w:space="0"/>
              <w:right w:val="single" w:color="auto" w:sz="4" w:space="0"/>
            </w:tcBorders>
            <w:vAlign w:val="center"/>
          </w:tcPr>
          <w:p w14:paraId="1ED3E9C9">
            <w:pPr>
              <w:rPr>
                <w:rFonts w:ascii="宋体" w:hAnsi="宋体" w:cs="宋体"/>
              </w:rPr>
            </w:pPr>
            <w:r>
              <w:rPr>
                <w:rFonts w:hint="eastAsia" w:ascii="宋体" w:hAnsi="宋体" w:cs="宋体"/>
              </w:rPr>
              <w:t>上海振华重工（集团）股份有限公司</w:t>
            </w:r>
          </w:p>
        </w:tc>
        <w:tc>
          <w:tcPr>
            <w:tcW w:w="1276" w:type="dxa"/>
            <w:tcBorders>
              <w:left w:val="single" w:color="auto" w:sz="4" w:space="0"/>
              <w:right w:val="single" w:color="auto" w:sz="4" w:space="0"/>
            </w:tcBorders>
            <w:vAlign w:val="center"/>
          </w:tcPr>
          <w:p w14:paraId="42BC78D8">
            <w:pPr>
              <w:rPr>
                <w:rFonts w:ascii="宋体" w:hAnsi="宋体" w:cs="宋体"/>
              </w:rPr>
            </w:pPr>
            <w:r>
              <w:rPr>
                <w:rFonts w:hint="eastAsia" w:ascii="宋体" w:hAnsi="宋体" w:cs="宋体"/>
              </w:rPr>
              <w:t>工程师</w:t>
            </w:r>
          </w:p>
        </w:tc>
        <w:tc>
          <w:tcPr>
            <w:tcW w:w="3417" w:type="dxa"/>
            <w:tcBorders>
              <w:left w:val="single" w:color="auto" w:sz="4" w:space="0"/>
            </w:tcBorders>
          </w:tcPr>
          <w:p w14:paraId="5374D27B">
            <w:pPr>
              <w:jc w:val="center"/>
            </w:pPr>
            <w:r>
              <w:rPr>
                <w:rFonts w:hint="eastAsia" w:ascii="宋体" w:hAnsi="宋体" w:cs="宋体"/>
              </w:rPr>
              <w:t>具体参与技术调研、技术指标细化和标准编写的相关工作</w:t>
            </w:r>
            <w:r>
              <w:rPr>
                <w:rFonts w:hint="eastAsia"/>
              </w:rPr>
              <w:t>。</w:t>
            </w:r>
          </w:p>
        </w:tc>
      </w:tr>
      <w:tr w14:paraId="40317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7D74A4A8">
            <w:pPr>
              <w:rPr>
                <w:rFonts w:hint="eastAsia"/>
              </w:rPr>
            </w:pPr>
            <w:r>
              <w:t>1</w:t>
            </w:r>
            <w:r>
              <w:rPr>
                <w:rFonts w:hint="eastAsia"/>
              </w:rPr>
              <w:t>2</w:t>
            </w:r>
          </w:p>
        </w:tc>
        <w:tc>
          <w:tcPr>
            <w:tcW w:w="992" w:type="dxa"/>
            <w:tcBorders>
              <w:right w:val="single" w:color="auto" w:sz="4" w:space="0"/>
            </w:tcBorders>
            <w:vAlign w:val="center"/>
          </w:tcPr>
          <w:p w14:paraId="7EDDAE6C">
            <w:pPr>
              <w:rPr>
                <w:rFonts w:ascii="宋体" w:hAnsi="宋体" w:cs="宋体"/>
              </w:rPr>
            </w:pPr>
            <w:r>
              <w:rPr>
                <w:rFonts w:hint="eastAsia" w:ascii="宋体" w:hAnsi="宋体" w:cs="宋体"/>
              </w:rPr>
              <w:t>余芳</w:t>
            </w:r>
          </w:p>
        </w:tc>
        <w:tc>
          <w:tcPr>
            <w:tcW w:w="1970" w:type="dxa"/>
            <w:tcBorders>
              <w:left w:val="single" w:color="auto" w:sz="4" w:space="0"/>
              <w:right w:val="single" w:color="auto" w:sz="4" w:space="0"/>
            </w:tcBorders>
            <w:vAlign w:val="center"/>
          </w:tcPr>
          <w:p w14:paraId="19796CEF">
            <w:pPr>
              <w:rPr>
                <w:rFonts w:ascii="宋体" w:hAnsi="宋体" w:cs="宋体"/>
              </w:rPr>
            </w:pPr>
            <w:r>
              <w:rPr>
                <w:rFonts w:hint="eastAsia" w:ascii="宋体" w:hAnsi="宋体" w:cs="宋体"/>
              </w:rPr>
              <w:t>上海海事大学</w:t>
            </w:r>
          </w:p>
        </w:tc>
        <w:tc>
          <w:tcPr>
            <w:tcW w:w="1276" w:type="dxa"/>
            <w:tcBorders>
              <w:left w:val="single" w:color="auto" w:sz="4" w:space="0"/>
              <w:right w:val="single" w:color="auto" w:sz="4" w:space="0"/>
            </w:tcBorders>
            <w:vAlign w:val="center"/>
          </w:tcPr>
          <w:p w14:paraId="6254BE80">
            <w:pPr>
              <w:rPr>
                <w:rFonts w:ascii="宋体" w:hAnsi="宋体" w:cs="宋体"/>
              </w:rPr>
            </w:pPr>
            <w:r>
              <w:rPr>
                <w:rFonts w:hint="eastAsia" w:ascii="宋体" w:hAnsi="宋体" w:cs="宋体"/>
              </w:rPr>
              <w:t>讲师</w:t>
            </w:r>
          </w:p>
        </w:tc>
        <w:tc>
          <w:tcPr>
            <w:tcW w:w="3417" w:type="dxa"/>
            <w:tcBorders>
              <w:left w:val="single" w:color="auto" w:sz="4" w:space="0"/>
            </w:tcBorders>
          </w:tcPr>
          <w:p w14:paraId="681D1EBF">
            <w:pPr>
              <w:jc w:val="center"/>
            </w:pPr>
            <w:r>
              <w:rPr>
                <w:rFonts w:hint="eastAsia" w:ascii="宋体" w:hAnsi="宋体" w:cs="宋体"/>
              </w:rPr>
              <w:t>提供设备管理技术支撑，审核标准中设备维护管理相关技术内容</w:t>
            </w:r>
            <w:r>
              <w:rPr>
                <w:rFonts w:hint="eastAsia"/>
              </w:rPr>
              <w:t>。</w:t>
            </w:r>
          </w:p>
        </w:tc>
      </w:tr>
      <w:tr w14:paraId="474AA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337D063D">
            <w:pPr>
              <w:rPr>
                <w:rFonts w:hint="eastAsia"/>
              </w:rPr>
            </w:pPr>
            <w:r>
              <w:t>1</w:t>
            </w:r>
            <w:r>
              <w:rPr>
                <w:rFonts w:hint="eastAsia"/>
              </w:rPr>
              <w:t>3</w:t>
            </w:r>
          </w:p>
        </w:tc>
        <w:tc>
          <w:tcPr>
            <w:tcW w:w="992" w:type="dxa"/>
            <w:tcBorders>
              <w:right w:val="single" w:color="auto" w:sz="4" w:space="0"/>
            </w:tcBorders>
            <w:vAlign w:val="center"/>
          </w:tcPr>
          <w:p w14:paraId="5E651BBD">
            <w:pPr>
              <w:rPr>
                <w:rFonts w:ascii="宋体" w:hAnsi="宋体" w:cs="宋体"/>
              </w:rPr>
            </w:pPr>
            <w:r>
              <w:rPr>
                <w:rFonts w:hint="eastAsia" w:ascii="宋体" w:hAnsi="宋体" w:cs="宋体"/>
              </w:rPr>
              <w:t>朱文烜</w:t>
            </w:r>
          </w:p>
        </w:tc>
        <w:tc>
          <w:tcPr>
            <w:tcW w:w="1970" w:type="dxa"/>
            <w:tcBorders>
              <w:left w:val="single" w:color="auto" w:sz="4" w:space="0"/>
              <w:right w:val="single" w:color="auto" w:sz="4" w:space="0"/>
            </w:tcBorders>
            <w:vAlign w:val="center"/>
          </w:tcPr>
          <w:p w14:paraId="67E609BC">
            <w:pPr>
              <w:rPr>
                <w:rFonts w:ascii="宋体" w:hAnsi="宋体" w:cs="宋体"/>
              </w:rPr>
            </w:pPr>
            <w:r>
              <w:rPr>
                <w:rFonts w:hint="eastAsia" w:ascii="宋体" w:hAnsi="宋体" w:cs="宋体"/>
              </w:rPr>
              <w:t>自动化码头技术交通运输行业研发中心（中远海运港口有限公司）</w:t>
            </w:r>
          </w:p>
        </w:tc>
        <w:tc>
          <w:tcPr>
            <w:tcW w:w="1276" w:type="dxa"/>
            <w:tcBorders>
              <w:left w:val="single" w:color="auto" w:sz="4" w:space="0"/>
              <w:right w:val="single" w:color="auto" w:sz="4" w:space="0"/>
            </w:tcBorders>
            <w:vAlign w:val="center"/>
          </w:tcPr>
          <w:p w14:paraId="7F105699">
            <w:pPr>
              <w:rPr>
                <w:rFonts w:ascii="宋体" w:hAnsi="宋体" w:cs="宋体"/>
              </w:rPr>
            </w:pPr>
            <w:r>
              <w:rPr>
                <w:rFonts w:hint="eastAsia" w:ascii="宋体" w:hAnsi="宋体" w:cs="宋体"/>
              </w:rPr>
              <w:t>工程师</w:t>
            </w:r>
          </w:p>
        </w:tc>
        <w:tc>
          <w:tcPr>
            <w:tcW w:w="3417" w:type="dxa"/>
            <w:tcBorders>
              <w:left w:val="single" w:color="auto" w:sz="4" w:space="0"/>
            </w:tcBorders>
          </w:tcPr>
          <w:p w14:paraId="30D71B9A">
            <w:pPr>
              <w:jc w:val="center"/>
            </w:pPr>
            <w:r>
              <w:rPr>
                <w:rFonts w:hint="eastAsia" w:ascii="宋体" w:hAnsi="宋体" w:cs="宋体"/>
              </w:rPr>
              <w:t>负责信息化技术指标的制定和标准相关章节的审定与编制</w:t>
            </w:r>
            <w:r>
              <w:rPr>
                <w:rFonts w:hint="eastAsia"/>
              </w:rPr>
              <w:t>。</w:t>
            </w:r>
          </w:p>
        </w:tc>
      </w:tr>
      <w:tr w14:paraId="7BDF3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581D0913">
            <w:pPr>
              <w:rPr>
                <w:rFonts w:hint="eastAsia"/>
              </w:rPr>
            </w:pPr>
            <w:r>
              <w:t>1</w:t>
            </w:r>
            <w:r>
              <w:rPr>
                <w:rFonts w:hint="eastAsia"/>
              </w:rPr>
              <w:t>4</w:t>
            </w:r>
          </w:p>
        </w:tc>
        <w:tc>
          <w:tcPr>
            <w:tcW w:w="992" w:type="dxa"/>
            <w:tcBorders>
              <w:right w:val="single" w:color="auto" w:sz="4" w:space="0"/>
            </w:tcBorders>
            <w:vAlign w:val="center"/>
          </w:tcPr>
          <w:p w14:paraId="6CF215DC">
            <w:pPr>
              <w:rPr>
                <w:rFonts w:ascii="宋体" w:hAnsi="宋体" w:cs="宋体"/>
              </w:rPr>
            </w:pPr>
            <w:r>
              <w:rPr>
                <w:rFonts w:hint="eastAsia" w:ascii="宋体" w:hAnsi="宋体" w:cs="宋体"/>
              </w:rPr>
              <w:t>刘轶</w:t>
            </w:r>
          </w:p>
        </w:tc>
        <w:tc>
          <w:tcPr>
            <w:tcW w:w="1970" w:type="dxa"/>
            <w:tcBorders>
              <w:left w:val="single" w:color="auto" w:sz="4" w:space="0"/>
              <w:right w:val="single" w:color="auto" w:sz="4" w:space="0"/>
            </w:tcBorders>
            <w:vAlign w:val="center"/>
          </w:tcPr>
          <w:p w14:paraId="1E3D91B5">
            <w:pPr>
              <w:rPr>
                <w:rFonts w:ascii="宋体" w:hAnsi="宋体" w:cs="宋体"/>
              </w:rPr>
            </w:pPr>
            <w:r>
              <w:rPr>
                <w:rFonts w:hint="eastAsia" w:ascii="宋体" w:hAnsi="宋体" w:cs="宋体"/>
              </w:rPr>
              <w:t>厦门远海集装箱码头有限公司</w:t>
            </w:r>
          </w:p>
        </w:tc>
        <w:tc>
          <w:tcPr>
            <w:tcW w:w="1276" w:type="dxa"/>
            <w:tcBorders>
              <w:left w:val="single" w:color="auto" w:sz="4" w:space="0"/>
              <w:right w:val="single" w:color="auto" w:sz="4" w:space="0"/>
            </w:tcBorders>
            <w:vAlign w:val="center"/>
          </w:tcPr>
          <w:p w14:paraId="3B0B9F1A">
            <w:pPr>
              <w:rPr>
                <w:rFonts w:ascii="宋体" w:hAnsi="宋体" w:cs="宋体"/>
              </w:rPr>
            </w:pPr>
            <w:r>
              <w:rPr>
                <w:rFonts w:hint="eastAsia" w:ascii="宋体" w:hAnsi="宋体" w:cs="宋体"/>
              </w:rPr>
              <w:t>工程师</w:t>
            </w:r>
          </w:p>
        </w:tc>
        <w:tc>
          <w:tcPr>
            <w:tcW w:w="3417" w:type="dxa"/>
            <w:tcBorders>
              <w:left w:val="single" w:color="auto" w:sz="4" w:space="0"/>
            </w:tcBorders>
          </w:tcPr>
          <w:p w14:paraId="47E373D3">
            <w:pPr>
              <w:jc w:val="center"/>
            </w:pPr>
            <w:r>
              <w:rPr>
                <w:rFonts w:hint="eastAsia" w:ascii="宋体" w:hAnsi="宋体" w:cs="宋体"/>
              </w:rPr>
              <w:t>负责设备自动化技术研究、技术方案验证及标准第</w:t>
            </w:r>
            <w:r>
              <w:t>4</w:t>
            </w:r>
            <w:r>
              <w:rPr>
                <w:rFonts w:hint="eastAsia" w:ascii="宋体" w:hAnsi="宋体" w:cs="宋体"/>
              </w:rPr>
              <w:t>至</w:t>
            </w:r>
            <w:r>
              <w:t>6</w:t>
            </w:r>
            <w:r>
              <w:rPr>
                <w:rFonts w:hint="eastAsia" w:ascii="宋体" w:hAnsi="宋体" w:cs="宋体"/>
              </w:rPr>
              <w:t>章内容审查</w:t>
            </w:r>
            <w:r>
              <w:rPr>
                <w:rFonts w:hint="eastAsia"/>
              </w:rPr>
              <w:t>。</w:t>
            </w:r>
          </w:p>
        </w:tc>
      </w:tr>
      <w:tr w14:paraId="32FE75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3A9364D3">
            <w:pPr>
              <w:rPr>
                <w:rFonts w:hint="eastAsia"/>
              </w:rPr>
            </w:pPr>
            <w:r>
              <w:t>1</w:t>
            </w:r>
            <w:r>
              <w:rPr>
                <w:rFonts w:hint="eastAsia"/>
              </w:rPr>
              <w:t>5</w:t>
            </w:r>
          </w:p>
        </w:tc>
        <w:tc>
          <w:tcPr>
            <w:tcW w:w="992" w:type="dxa"/>
            <w:tcBorders>
              <w:right w:val="single" w:color="auto" w:sz="4" w:space="0"/>
            </w:tcBorders>
            <w:vAlign w:val="center"/>
          </w:tcPr>
          <w:p w14:paraId="438FC96B">
            <w:pPr>
              <w:rPr>
                <w:rFonts w:ascii="宋体" w:hAnsi="宋体" w:cs="宋体"/>
              </w:rPr>
            </w:pPr>
            <w:r>
              <w:rPr>
                <w:rFonts w:hint="eastAsia" w:ascii="宋体" w:hAnsi="宋体" w:cs="宋体"/>
              </w:rPr>
              <w:t>郑燊</w:t>
            </w:r>
          </w:p>
        </w:tc>
        <w:tc>
          <w:tcPr>
            <w:tcW w:w="1970" w:type="dxa"/>
            <w:tcBorders>
              <w:left w:val="single" w:color="auto" w:sz="4" w:space="0"/>
              <w:right w:val="single" w:color="auto" w:sz="4" w:space="0"/>
            </w:tcBorders>
            <w:vAlign w:val="center"/>
          </w:tcPr>
          <w:p w14:paraId="7E2EF4BF">
            <w:pPr>
              <w:rPr>
                <w:rFonts w:ascii="宋体" w:hAnsi="宋体" w:cs="宋体"/>
              </w:rPr>
            </w:pPr>
            <w:r>
              <w:rPr>
                <w:rFonts w:hint="eastAsia" w:ascii="宋体" w:hAnsi="宋体" w:cs="宋体"/>
              </w:rPr>
              <w:t>厦门远海集装箱码头有限公司</w:t>
            </w:r>
          </w:p>
        </w:tc>
        <w:tc>
          <w:tcPr>
            <w:tcW w:w="1276" w:type="dxa"/>
            <w:tcBorders>
              <w:left w:val="single" w:color="auto" w:sz="4" w:space="0"/>
              <w:right w:val="single" w:color="auto" w:sz="4" w:space="0"/>
            </w:tcBorders>
            <w:vAlign w:val="center"/>
          </w:tcPr>
          <w:p w14:paraId="6A702C49">
            <w:pPr>
              <w:rPr>
                <w:rFonts w:ascii="宋体" w:hAnsi="宋体" w:cs="宋体"/>
              </w:rPr>
            </w:pPr>
            <w:r>
              <w:rPr>
                <w:rFonts w:hint="eastAsia" w:ascii="宋体" w:hAnsi="宋体" w:cs="宋体"/>
              </w:rPr>
              <w:t>高级工程师</w:t>
            </w:r>
          </w:p>
        </w:tc>
        <w:tc>
          <w:tcPr>
            <w:tcW w:w="3417" w:type="dxa"/>
            <w:tcBorders>
              <w:left w:val="single" w:color="auto" w:sz="4" w:space="0"/>
            </w:tcBorders>
          </w:tcPr>
          <w:p w14:paraId="6C5FD1BF">
            <w:pPr>
              <w:jc w:val="center"/>
            </w:pPr>
            <w:r>
              <w:rPr>
                <w:rFonts w:hint="eastAsia" w:ascii="宋体" w:hAnsi="宋体" w:cs="宋体"/>
              </w:rPr>
              <w:t>具体参与标准设备自动化技术指标内容（第</w:t>
            </w:r>
            <w:r>
              <w:t>6</w:t>
            </w:r>
            <w:r>
              <w:rPr>
                <w:rFonts w:hint="eastAsia" w:ascii="宋体" w:hAnsi="宋体" w:cs="宋体"/>
              </w:rPr>
              <w:t>章）的研究、制定和编制工作</w:t>
            </w:r>
            <w:r>
              <w:rPr>
                <w:rFonts w:hint="eastAsia"/>
              </w:rPr>
              <w:t>。</w:t>
            </w:r>
          </w:p>
        </w:tc>
      </w:tr>
      <w:tr w14:paraId="0E425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165CF579">
            <w:pPr>
              <w:rPr>
                <w:rFonts w:hint="eastAsia"/>
              </w:rPr>
            </w:pPr>
            <w:r>
              <w:t>1</w:t>
            </w:r>
            <w:r>
              <w:rPr>
                <w:rFonts w:hint="eastAsia"/>
              </w:rPr>
              <w:t>6</w:t>
            </w:r>
          </w:p>
        </w:tc>
        <w:tc>
          <w:tcPr>
            <w:tcW w:w="992" w:type="dxa"/>
            <w:tcBorders>
              <w:right w:val="single" w:color="auto" w:sz="4" w:space="0"/>
            </w:tcBorders>
            <w:vAlign w:val="center"/>
          </w:tcPr>
          <w:p w14:paraId="0741F0BD">
            <w:pPr>
              <w:rPr>
                <w:rFonts w:ascii="宋体" w:hAnsi="宋体" w:cs="宋体"/>
              </w:rPr>
            </w:pPr>
            <w:r>
              <w:rPr>
                <w:rFonts w:hint="eastAsia" w:ascii="宋体" w:hAnsi="宋体" w:cs="宋体"/>
              </w:rPr>
              <w:t>马矜</w:t>
            </w:r>
          </w:p>
        </w:tc>
        <w:tc>
          <w:tcPr>
            <w:tcW w:w="1970" w:type="dxa"/>
            <w:tcBorders>
              <w:left w:val="single" w:color="auto" w:sz="4" w:space="0"/>
              <w:right w:val="single" w:color="auto" w:sz="4" w:space="0"/>
            </w:tcBorders>
            <w:vAlign w:val="center"/>
          </w:tcPr>
          <w:p w14:paraId="07BD249B">
            <w:pPr>
              <w:rPr>
                <w:rFonts w:ascii="宋体" w:hAnsi="宋体" w:cs="宋体"/>
              </w:rPr>
            </w:pPr>
            <w:r>
              <w:rPr>
                <w:rFonts w:hint="eastAsia" w:ascii="宋体" w:hAnsi="宋体" w:cs="宋体"/>
              </w:rPr>
              <w:t>上海振华重工（集团）股份有限公司</w:t>
            </w:r>
          </w:p>
        </w:tc>
        <w:tc>
          <w:tcPr>
            <w:tcW w:w="1276" w:type="dxa"/>
            <w:tcBorders>
              <w:left w:val="single" w:color="auto" w:sz="4" w:space="0"/>
              <w:right w:val="single" w:color="auto" w:sz="4" w:space="0"/>
            </w:tcBorders>
            <w:vAlign w:val="center"/>
          </w:tcPr>
          <w:p w14:paraId="7E320CA5">
            <w:pPr>
              <w:rPr>
                <w:rFonts w:ascii="宋体" w:hAnsi="宋体" w:cs="宋体"/>
              </w:rPr>
            </w:pPr>
            <w:r>
              <w:rPr>
                <w:rFonts w:hint="eastAsia" w:ascii="宋体" w:hAnsi="宋体" w:cs="宋体"/>
              </w:rPr>
              <w:t>高级工程师</w:t>
            </w:r>
          </w:p>
        </w:tc>
        <w:tc>
          <w:tcPr>
            <w:tcW w:w="3417" w:type="dxa"/>
            <w:tcBorders>
              <w:left w:val="single" w:color="auto" w:sz="4" w:space="0"/>
            </w:tcBorders>
          </w:tcPr>
          <w:p w14:paraId="611C1AF0">
            <w:pPr>
              <w:jc w:val="center"/>
            </w:pPr>
            <w:r>
              <w:rPr>
                <w:rFonts w:hint="eastAsia" w:ascii="宋体" w:hAnsi="宋体" w:cs="宋体"/>
              </w:rPr>
              <w:t>负责技术方案的验证，参与技术指标编写与审核</w:t>
            </w:r>
            <w:r>
              <w:rPr>
                <w:rFonts w:hint="eastAsia"/>
              </w:rPr>
              <w:t>。</w:t>
            </w:r>
          </w:p>
        </w:tc>
      </w:tr>
      <w:tr w14:paraId="66E52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760F155D">
            <w:pPr>
              <w:rPr>
                <w:rFonts w:hint="eastAsia"/>
              </w:rPr>
            </w:pPr>
            <w:r>
              <w:t>1</w:t>
            </w:r>
            <w:r>
              <w:rPr>
                <w:rFonts w:hint="eastAsia"/>
              </w:rPr>
              <w:t>7</w:t>
            </w:r>
          </w:p>
        </w:tc>
        <w:tc>
          <w:tcPr>
            <w:tcW w:w="992" w:type="dxa"/>
            <w:tcBorders>
              <w:right w:val="single" w:color="auto" w:sz="4" w:space="0"/>
            </w:tcBorders>
            <w:vAlign w:val="center"/>
          </w:tcPr>
          <w:p w14:paraId="3BB38261">
            <w:r>
              <w:rPr>
                <w:rFonts w:hint="eastAsia" w:ascii="宋体" w:hAnsi="宋体" w:cs="宋体"/>
                <w:sz w:val="28"/>
                <w:szCs w:val="28"/>
              </w:rPr>
              <w:t>江灝</w:t>
            </w:r>
          </w:p>
        </w:tc>
        <w:tc>
          <w:tcPr>
            <w:tcW w:w="1970" w:type="dxa"/>
            <w:tcBorders>
              <w:left w:val="single" w:color="auto" w:sz="4" w:space="0"/>
              <w:right w:val="single" w:color="auto" w:sz="4" w:space="0"/>
            </w:tcBorders>
            <w:vAlign w:val="center"/>
          </w:tcPr>
          <w:p w14:paraId="709D84CC">
            <w:pPr>
              <w:rPr>
                <w:rFonts w:ascii="宋体" w:hAnsi="宋体" w:cs="宋体"/>
              </w:rPr>
            </w:pPr>
            <w:r>
              <w:rPr>
                <w:rFonts w:hint="eastAsia" w:ascii="宋体" w:hAnsi="宋体" w:cs="宋体"/>
              </w:rPr>
              <w:t>上海振华重工（集团）股份有限公司</w:t>
            </w:r>
          </w:p>
        </w:tc>
        <w:tc>
          <w:tcPr>
            <w:tcW w:w="1276" w:type="dxa"/>
            <w:tcBorders>
              <w:left w:val="single" w:color="auto" w:sz="4" w:space="0"/>
              <w:right w:val="single" w:color="auto" w:sz="4" w:space="0"/>
            </w:tcBorders>
            <w:vAlign w:val="center"/>
          </w:tcPr>
          <w:p w14:paraId="65FC83D6">
            <w:pPr>
              <w:rPr>
                <w:rFonts w:ascii="宋体" w:hAnsi="宋体" w:cs="宋体"/>
              </w:rPr>
            </w:pPr>
            <w:r>
              <w:rPr>
                <w:rFonts w:hint="eastAsia" w:ascii="宋体" w:hAnsi="宋体" w:cs="宋体"/>
              </w:rPr>
              <w:t>高级工程师</w:t>
            </w:r>
          </w:p>
        </w:tc>
        <w:tc>
          <w:tcPr>
            <w:tcW w:w="3417" w:type="dxa"/>
            <w:tcBorders>
              <w:left w:val="single" w:color="auto" w:sz="4" w:space="0"/>
            </w:tcBorders>
          </w:tcPr>
          <w:p w14:paraId="235AA127">
            <w:pPr>
              <w:jc w:val="center"/>
            </w:pPr>
            <w:r>
              <w:rPr>
                <w:rFonts w:hint="eastAsia" w:ascii="宋体" w:hAnsi="宋体" w:cs="宋体"/>
              </w:rPr>
              <w:t>负责标准技术体系的构建、技术路线的确定、技术内容的审核，参与标准第</w:t>
            </w:r>
            <w:r>
              <w:t>1</w:t>
            </w:r>
            <w:r>
              <w:rPr>
                <w:rFonts w:hint="eastAsia" w:ascii="宋体" w:hAnsi="宋体" w:cs="宋体"/>
              </w:rPr>
              <w:t>至</w:t>
            </w:r>
            <w:r>
              <w:t>6</w:t>
            </w:r>
            <w:r>
              <w:rPr>
                <w:rFonts w:hint="eastAsia" w:ascii="宋体" w:hAnsi="宋体" w:cs="宋体"/>
              </w:rPr>
              <w:t>章内容编制</w:t>
            </w:r>
            <w:r>
              <w:rPr>
                <w:rFonts w:hint="eastAsia"/>
              </w:rPr>
              <w:t>。</w:t>
            </w:r>
          </w:p>
        </w:tc>
      </w:tr>
      <w:tr w14:paraId="2FF072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09" w:type="dxa"/>
            <w:tcBorders>
              <w:right w:val="single" w:color="auto" w:sz="4" w:space="0"/>
            </w:tcBorders>
          </w:tcPr>
          <w:p w14:paraId="3A0B25D2">
            <w:pPr>
              <w:rPr>
                <w:rFonts w:hint="eastAsia"/>
              </w:rPr>
            </w:pPr>
            <w:r>
              <w:rPr>
                <w:rFonts w:hint="eastAsia"/>
              </w:rPr>
              <w:t>18</w:t>
            </w:r>
          </w:p>
        </w:tc>
        <w:tc>
          <w:tcPr>
            <w:tcW w:w="992" w:type="dxa"/>
            <w:tcBorders>
              <w:right w:val="single" w:color="auto" w:sz="4" w:space="0"/>
            </w:tcBorders>
            <w:vAlign w:val="center"/>
          </w:tcPr>
          <w:p w14:paraId="58B6C347">
            <w:r>
              <w:rPr>
                <w:rFonts w:hint="eastAsia" w:ascii="宋体" w:hAnsi="宋体" w:cs="宋体"/>
                <w:lang w:val="en-US" w:eastAsia="zh-CN"/>
              </w:rPr>
              <w:t>陈</w:t>
            </w:r>
            <w:r>
              <w:rPr>
                <w:rFonts w:hint="eastAsia" w:ascii="宋体" w:hAnsi="宋体" w:cs="宋体"/>
              </w:rPr>
              <w:t>信强</w:t>
            </w:r>
          </w:p>
        </w:tc>
        <w:tc>
          <w:tcPr>
            <w:tcW w:w="1970" w:type="dxa"/>
            <w:tcBorders>
              <w:left w:val="single" w:color="auto" w:sz="4" w:space="0"/>
              <w:right w:val="single" w:color="auto" w:sz="4" w:space="0"/>
            </w:tcBorders>
            <w:vAlign w:val="center"/>
          </w:tcPr>
          <w:p w14:paraId="766E5A66">
            <w:pPr>
              <w:rPr>
                <w:rFonts w:ascii="宋体" w:hAnsi="宋体" w:cs="宋体"/>
              </w:rPr>
            </w:pPr>
            <w:r>
              <w:rPr>
                <w:rFonts w:hint="eastAsia" w:ascii="宋体" w:hAnsi="宋体" w:cs="宋体"/>
              </w:rPr>
              <w:t>上海海事大学</w:t>
            </w:r>
          </w:p>
        </w:tc>
        <w:tc>
          <w:tcPr>
            <w:tcW w:w="1276" w:type="dxa"/>
            <w:tcBorders>
              <w:left w:val="single" w:color="auto" w:sz="4" w:space="0"/>
              <w:right w:val="single" w:color="auto" w:sz="4" w:space="0"/>
            </w:tcBorders>
            <w:vAlign w:val="center"/>
          </w:tcPr>
          <w:p w14:paraId="028EF292">
            <w:pPr>
              <w:rPr>
                <w:rFonts w:ascii="宋体" w:hAnsi="宋体" w:cs="宋体"/>
              </w:rPr>
            </w:pPr>
            <w:r>
              <w:rPr>
                <w:rFonts w:hint="eastAsia" w:ascii="宋体" w:hAnsi="宋体" w:cs="宋体"/>
              </w:rPr>
              <w:t>副教授</w:t>
            </w:r>
          </w:p>
        </w:tc>
        <w:tc>
          <w:tcPr>
            <w:tcW w:w="3417" w:type="dxa"/>
            <w:tcBorders>
              <w:left w:val="single" w:color="auto" w:sz="4" w:space="0"/>
            </w:tcBorders>
          </w:tcPr>
          <w:p w14:paraId="40FC73BA">
            <w:pPr>
              <w:jc w:val="center"/>
            </w:pPr>
            <w:r>
              <w:rPr>
                <w:rFonts w:hint="eastAsia" w:ascii="宋体" w:hAnsi="宋体" w:cs="宋体"/>
              </w:rPr>
              <w:t>参与标准技术调研、技术方案设计与具体技术指标的编制（第</w:t>
            </w:r>
            <w:r>
              <w:t>6</w:t>
            </w:r>
            <w:r>
              <w:rPr>
                <w:rFonts w:hint="eastAsia" w:ascii="宋体" w:hAnsi="宋体" w:cs="宋体"/>
              </w:rPr>
              <w:t>章）</w:t>
            </w:r>
            <w:r>
              <w:rPr>
                <w:rFonts w:hint="eastAsia"/>
              </w:rPr>
              <w:t>。</w:t>
            </w:r>
          </w:p>
        </w:tc>
      </w:tr>
    </w:tbl>
    <w:p w14:paraId="12F27751">
      <w:pPr>
        <w:pStyle w:val="3"/>
      </w:pPr>
      <w:r>
        <w:rPr>
          <w:rFonts w:hint="eastAsia"/>
        </w:rPr>
        <w:t>1.3 标准制定的主要过程</w:t>
      </w:r>
    </w:p>
    <w:p w14:paraId="1E64FFC6">
      <w:pPr>
        <w:ind w:firstLine="480" w:firstLineChars="200"/>
      </w:pPr>
      <w:r>
        <w:t>本标准的研究和制定过程，严格按照中国港口协会团体标准制定的相关管理办法开展，主要包括需求调研分析、技术指标体系研究、技术指标评估验证、标准审查发布等四个阶段，具体如下：</w:t>
      </w:r>
    </w:p>
    <w:p w14:paraId="55BA6F8F">
      <w:pPr>
        <w:ind w:firstLine="480" w:firstLineChars="200"/>
      </w:pPr>
      <w:r>
        <w:t>2024年5月—2024年12月成立标准起草联合工作组，系统开展国内外自动化集装箱码头的调研，走访</w:t>
      </w:r>
      <w:r>
        <w:rPr>
          <w:rFonts w:hint="eastAsia"/>
          <w:lang w:val="en-US" w:eastAsia="zh-CN"/>
        </w:rPr>
        <w:t>上海港</w:t>
      </w:r>
      <w:r>
        <w:t>、</w:t>
      </w:r>
      <w:r>
        <w:rPr>
          <w:rFonts w:hint="eastAsia"/>
          <w:lang w:val="en-US" w:eastAsia="zh-CN"/>
        </w:rPr>
        <w:t>青岛港、宁波港、</w:t>
      </w:r>
      <w:r>
        <w:t>广州港、厦门远海码头等单位，分析总结集装箱门式起重机自动化技术需求与应用现状，编制完成调研报告，为标准初稿提供可靠依据。</w:t>
      </w:r>
    </w:p>
    <w:p w14:paraId="76FB49F8">
      <w:pPr>
        <w:ind w:firstLine="480" w:firstLineChars="200"/>
      </w:pPr>
      <w:r>
        <w:t>2025年1月—2025年6月组织召开了4次行业专家专题研讨会，明确标准的总体技术路线和框架体系，初步确定决策能力、感知能力、控制能力、安全保护、能源环境优化和其他能力6大技术模块的指标体系，编制形成标准草案初稿。</w:t>
      </w:r>
    </w:p>
    <w:p w14:paraId="2151ABA0">
      <w:pPr>
        <w:ind w:firstLine="480" w:firstLineChars="200"/>
      </w:pPr>
      <w:r>
        <w:t>2025年7月—2025年</w:t>
      </w:r>
      <w:r>
        <w:rPr>
          <w:rFonts w:hint="eastAsia"/>
          <w:lang w:val="en-US" w:eastAsia="zh-CN"/>
        </w:rPr>
        <w:t>9</w:t>
      </w:r>
      <w:r>
        <w:t>月组织召开专家咨询会，广泛征求行业意见，完善标准初稿技术指标体系，修订形成标准送审稿。</w:t>
      </w:r>
    </w:p>
    <w:p w14:paraId="58113E09">
      <w:pPr>
        <w:ind w:firstLine="480" w:firstLineChars="200"/>
      </w:pPr>
      <w:r>
        <w:t>202</w:t>
      </w:r>
      <w:r>
        <w:rPr>
          <w:rFonts w:hint="eastAsia"/>
          <w:lang w:val="en-US" w:eastAsia="zh-CN"/>
        </w:rPr>
        <w:t>5</w:t>
      </w:r>
      <w:r>
        <w:t>年</w:t>
      </w:r>
      <w:r>
        <w:rPr>
          <w:rFonts w:hint="eastAsia"/>
          <w:lang w:val="en-US" w:eastAsia="zh-CN"/>
        </w:rPr>
        <w:t>10</w:t>
      </w:r>
      <w:r>
        <w:t>月—202</w:t>
      </w:r>
      <w:r>
        <w:rPr>
          <w:rFonts w:hint="eastAsia"/>
          <w:lang w:val="en-US" w:eastAsia="zh-CN"/>
        </w:rPr>
        <w:t>5</w:t>
      </w:r>
      <w:r>
        <w:t>年</w:t>
      </w:r>
      <w:r>
        <w:rPr>
          <w:rFonts w:hint="eastAsia"/>
          <w:lang w:val="en-US" w:eastAsia="zh-CN"/>
        </w:rPr>
        <w:t>12</w:t>
      </w:r>
      <w:r>
        <w:t>月起草单位针对送审稿中专家反馈意见，深入研究和再次论证，对标准的技术内容逐条细化和完善，最终完成送审稿修订版。</w:t>
      </w:r>
    </w:p>
    <w:p w14:paraId="77A1C6A4">
      <w:pPr>
        <w:ind w:firstLine="480" w:firstLineChars="200"/>
      </w:pPr>
      <w:r>
        <w:t>202</w:t>
      </w:r>
      <w:r>
        <w:rPr>
          <w:rFonts w:hint="eastAsia"/>
          <w:lang w:val="en-US" w:eastAsia="zh-CN"/>
        </w:rPr>
        <w:t>6</w:t>
      </w:r>
      <w:r>
        <w:t>年</w:t>
      </w:r>
      <w:r>
        <w:rPr>
          <w:rFonts w:hint="eastAsia"/>
          <w:lang w:val="en-US" w:eastAsia="zh-CN"/>
        </w:rPr>
        <w:t>1</w:t>
      </w:r>
      <w:r>
        <w:t>月—2026年</w:t>
      </w:r>
      <w:r>
        <w:rPr>
          <w:rFonts w:hint="eastAsia"/>
          <w:lang w:val="en-US" w:eastAsia="zh-CN"/>
        </w:rPr>
        <w:t>3</w:t>
      </w:r>
      <w:r>
        <w:t>月中国港口协会组织专家组正式审查标准送审稿，逐条进行审定。标准编制组根据审查意见进一步完善形成报批稿，并完成标准的最终审核发布，保障标准顺利实施落地。</w:t>
      </w:r>
    </w:p>
    <w:p w14:paraId="7EA8334C">
      <w:pPr>
        <w:pStyle w:val="2"/>
        <w:rPr>
          <w:rFonts w:hint="eastAsia"/>
        </w:rPr>
      </w:pPr>
      <w:bookmarkStart w:id="2" w:name="_Toc129373348"/>
      <w:r>
        <w:rPr>
          <w:rFonts w:hint="eastAsia"/>
        </w:rPr>
        <w:t>2</w:t>
      </w:r>
      <w:r>
        <w:rPr>
          <w:rFonts w:hint="eastAsia"/>
        </w:rPr>
        <w:tab/>
      </w:r>
      <w:r>
        <w:rPr>
          <w:rFonts w:hint="eastAsia"/>
        </w:rPr>
        <w:t>标准编制原则和确定标准主要内容的论据</w:t>
      </w:r>
      <w:bookmarkEnd w:id="2"/>
    </w:p>
    <w:p w14:paraId="15C4E6D8">
      <w:pPr>
        <w:pStyle w:val="3"/>
      </w:pPr>
      <w:r>
        <w:rPr>
          <w:rFonts w:hint="eastAsia"/>
        </w:rPr>
        <w:t>2.1 标准编制原则</w:t>
      </w:r>
    </w:p>
    <w:p w14:paraId="3DD8A63D">
      <w:pPr>
        <w:ind w:firstLine="480" w:firstLineChars="200"/>
      </w:pPr>
      <w:r>
        <w:rPr>
          <w:rFonts w:hint="eastAsia"/>
        </w:rPr>
        <w:t>本标准的制定为集装箱门式起重机自动化技术要求提供了规范依据。为确保标准条文所列的技术要求科学、合理、规范，本标准编制过程遵循“规范性、一致性、实用性、适应性”原则。</w:t>
      </w:r>
    </w:p>
    <w:p w14:paraId="3B6E4DB9">
      <w:pPr>
        <w:pStyle w:val="4"/>
      </w:pPr>
      <w:r>
        <w:rPr>
          <w:rFonts w:hint="eastAsia"/>
        </w:rPr>
        <w:t>2.1.1 规范性原则</w:t>
      </w:r>
    </w:p>
    <w:p w14:paraId="11A88AB3">
      <w:pPr>
        <w:ind w:firstLine="480" w:firstLineChars="200"/>
      </w:pPr>
      <w:r>
        <w:rPr>
          <w:rFonts w:hint="eastAsia"/>
        </w:rPr>
        <w:t>本标准严格按照《标准化工作导则第</w:t>
      </w:r>
      <w:r>
        <w:t>1</w:t>
      </w:r>
      <w:r>
        <w:rPr>
          <w:rFonts w:hint="eastAsia"/>
        </w:rPr>
        <w:t>部分：标准化文件的结构和起草规则》（</w:t>
      </w:r>
      <w:r>
        <w:t>GB/T 1.1—2020</w:t>
      </w:r>
      <w:r>
        <w:rPr>
          <w:rFonts w:hint="eastAsia"/>
        </w:rPr>
        <w:t>）的规定进行编写，并参考了单位、符号、用语的相关标准，保障了标准文本编写的规范性。</w:t>
      </w:r>
    </w:p>
    <w:p w14:paraId="09DDBC5D">
      <w:pPr>
        <w:pStyle w:val="4"/>
      </w:pPr>
      <w:r>
        <w:rPr>
          <w:rFonts w:hint="eastAsia"/>
        </w:rPr>
        <w:t>2.1.2 一致性原则</w:t>
      </w:r>
    </w:p>
    <w:p w14:paraId="1A8FEC44">
      <w:pPr>
        <w:ind w:firstLine="480" w:firstLineChars="200"/>
      </w:pPr>
      <w:r>
        <w:rPr>
          <w:rFonts w:hint="eastAsia"/>
        </w:rPr>
        <w:t>本标准制定过程查阅了与之相关的标准，并按照国际标准、国家标准、行业标准的顺序优先引用或参考，保持与现行相关标准、规范和技术文件的一致性和协调性，避免出现矛盾；在无国际、国家和行业标准参考的情况下，结合起草方</w:t>
      </w:r>
      <w:r>
        <w:t>的科研与项目经验，以及</w:t>
      </w:r>
      <w:r>
        <w:rPr>
          <w:rFonts w:hint="eastAsia"/>
        </w:rPr>
        <w:t>调研收集用户需求和实际情况，来形成标准内容。</w:t>
      </w:r>
    </w:p>
    <w:p w14:paraId="1E67B430">
      <w:pPr>
        <w:pStyle w:val="4"/>
      </w:pPr>
      <w:r>
        <w:rPr>
          <w:rFonts w:hint="eastAsia"/>
        </w:rPr>
        <w:t>2.1.3 实用性原则</w:t>
      </w:r>
    </w:p>
    <w:p w14:paraId="277FF030">
      <w:pPr>
        <w:ind w:firstLine="480" w:firstLineChars="200"/>
        <w:rPr>
          <w:b/>
          <w:bCs/>
        </w:rPr>
      </w:pPr>
      <w:r>
        <w:t>本标准以自动化码头设备的实际应用需求为导向，广泛开展港口一线调研工作，深入</w:t>
      </w:r>
      <w:r>
        <w:rPr>
          <w:rFonts w:hint="eastAsia"/>
          <w:lang w:val="en-US" w:eastAsia="zh-CN"/>
        </w:rPr>
        <w:t>上海港、</w:t>
      </w:r>
      <w:r>
        <w:t>青岛港、</w:t>
      </w:r>
      <w:r>
        <w:rPr>
          <w:rFonts w:hint="eastAsia"/>
          <w:lang w:val="en-US" w:eastAsia="zh-CN"/>
        </w:rPr>
        <w:t>宁波港、</w:t>
      </w:r>
      <w:r>
        <w:t>厦门远海码头、广州南沙港等多个自动化港口，充分考虑行业实际发展情况和港口运营需求，所制定的</w:t>
      </w:r>
      <w:r>
        <w:rPr>
          <w:rFonts w:hint="eastAsia"/>
        </w:rPr>
        <w:t>集装箱门式起重机</w:t>
      </w:r>
      <w:r>
        <w:t>自动化技术要求，具有较高的可操作性和实用价值，有利于标准的实施和推广。</w:t>
      </w:r>
    </w:p>
    <w:p w14:paraId="4B994BDA">
      <w:pPr>
        <w:pStyle w:val="4"/>
      </w:pPr>
      <w:r>
        <w:rPr>
          <w:rFonts w:hint="eastAsia"/>
        </w:rPr>
        <w:t>2.1.4 适用性原则</w:t>
      </w:r>
    </w:p>
    <w:p w14:paraId="4524FE02">
      <w:pPr>
        <w:ind w:firstLine="480" w:firstLineChars="200"/>
        <w:rPr>
          <w:b/>
          <w:bCs/>
        </w:rPr>
      </w:pPr>
      <w:r>
        <w:t>本标准的制定充分结合当前国家港口发展战略，特别是交通运输部《关于建设世界一流港口的指导意见》《关于加快智慧港口和智慧航道建设的意见》等文件的政策要求。集装箱门式起重机是码头作业的重要设备，随着我国港口集装箱吞吐量不断增加，自动化、智能化已成为港口设备技术发展的重要趋势。传统的人工操作模式存在效率低、成本高、风险大的缺点，亟需向自动化转型升级。本标准明确了</w:t>
      </w:r>
      <w:r>
        <w:rPr>
          <w:rFonts w:hint="eastAsia"/>
        </w:rPr>
        <w:t>集装箱门式起重机</w:t>
      </w:r>
      <w:r>
        <w:t>自动化技术的系统构成和各等级技术要求，为港口自动化设备升级和智慧港口建设提供直接的技术指导，具有广泛的适用性。</w:t>
      </w:r>
    </w:p>
    <w:p w14:paraId="7AE135C5">
      <w:pPr>
        <w:pStyle w:val="3"/>
      </w:pPr>
      <w:r>
        <w:rPr>
          <w:rFonts w:hint="eastAsia"/>
        </w:rPr>
        <w:t>2.2 标准主要内容的确定依据</w:t>
      </w:r>
    </w:p>
    <w:p w14:paraId="2CD8CF9D">
      <w:pPr>
        <w:ind w:firstLine="480" w:firstLineChars="200"/>
      </w:pPr>
      <w:r>
        <w:rPr>
          <w:rFonts w:hint="eastAsia"/>
        </w:rPr>
        <w:t>标准制定任务下达后，编写组在前期研究的基础上，开展了标准的编制工作。主要内容包括：</w:t>
      </w:r>
    </w:p>
    <w:p w14:paraId="14A18CFC">
      <w:pPr>
        <w:pStyle w:val="4"/>
      </w:pPr>
      <w:r>
        <w:rPr>
          <w:rFonts w:hint="eastAsia"/>
        </w:rPr>
        <w:t>2.2.1 标准的适用范围</w:t>
      </w:r>
    </w:p>
    <w:p w14:paraId="14AA55F3">
      <w:pPr>
        <w:ind w:firstLine="480" w:firstLineChars="200"/>
      </w:pPr>
      <w:r>
        <w:rPr>
          <w:rFonts w:hint="eastAsia"/>
        </w:rPr>
        <w:t>本标准规定了</w:t>
      </w:r>
      <w:r>
        <w:t>集装箱门式起重机</w:t>
      </w:r>
      <w:r>
        <w:rPr>
          <w:rFonts w:hint="eastAsia"/>
        </w:rPr>
        <w:t>自动化技术的系统构成、技术要求，适用于</w:t>
      </w:r>
      <w:r>
        <w:t>集装箱门式起重机设备的设计、制造、验收、运行</w:t>
      </w:r>
      <w:r>
        <w:rPr>
          <w:rFonts w:hint="eastAsia"/>
        </w:rPr>
        <w:t>。</w:t>
      </w:r>
    </w:p>
    <w:p w14:paraId="0DCF1400">
      <w:pPr>
        <w:ind w:firstLine="480" w:firstLineChars="200"/>
      </w:pPr>
      <w:r>
        <w:rPr>
          <w:rFonts w:hint="eastAsia"/>
        </w:rPr>
        <w:t>本标准文件根据《中华人民共和国港口法》、《中</w:t>
      </w:r>
      <w:r>
        <w:t>华人民共和国安全生产法》、《中华人民共和国标准化法》的相关内容，充分考虑了我国智慧港口建设与自动化码头实际应用场景，根据国家战略及行业发展的迫切需求，提出了清晰、具体的自动化技术规范，以指导设备的规范应用及行业技术升级。</w:t>
      </w:r>
    </w:p>
    <w:p w14:paraId="2B0F4C52">
      <w:pPr>
        <w:pStyle w:val="4"/>
      </w:pPr>
      <w:r>
        <w:rPr>
          <w:rFonts w:hint="eastAsia"/>
        </w:rPr>
        <w:t>2.2.2 规范性引用文件</w:t>
      </w:r>
    </w:p>
    <w:p w14:paraId="04EFC2A1">
      <w:pPr>
        <w:ind w:firstLine="480" w:firstLineChars="200"/>
      </w:pPr>
      <w:r>
        <w:rPr>
          <w:rFonts w:hint="eastAsia"/>
        </w:rPr>
        <w:t>列明了本标准文件规范性引用的标准清单。</w:t>
      </w:r>
    </w:p>
    <w:p w14:paraId="7D0A4FFC">
      <w:pPr>
        <w:pStyle w:val="4"/>
      </w:pPr>
      <w:r>
        <w:rPr>
          <w:rFonts w:hint="eastAsia"/>
        </w:rPr>
        <w:t>2.2.3 术语、</w:t>
      </w:r>
      <w:r>
        <w:t>定义</w:t>
      </w:r>
      <w:r>
        <w:rPr>
          <w:rFonts w:hint="eastAsia"/>
        </w:rPr>
        <w:t>和缩略词</w:t>
      </w:r>
    </w:p>
    <w:p w14:paraId="0FAB6AEA">
      <w:pPr>
        <w:ind w:firstLine="480"/>
      </w:pPr>
      <w:r>
        <w:rPr>
          <w:rFonts w:hint="eastAsia"/>
        </w:rPr>
        <w:t>为便于对本标准的理解和使用，根据本标准的适用范围及集装箱门式起重机自动化技术的实际情况和发展需求，对标准所需使用的重要术语、</w:t>
      </w:r>
      <w:r>
        <w:t>定义</w:t>
      </w:r>
      <w:r>
        <w:rPr>
          <w:rFonts w:hint="eastAsia"/>
        </w:rPr>
        <w:t>和缩略词进行了重点说明。</w:t>
      </w:r>
      <w:r>
        <w:t>参考了GB/T 1992、GB/T 8487、GB/T 7665中定义的术语，结合港口自动化发展需要，增加了“港口集装箱门式起重机自动化系统”等新的术语定义及常用缩略语（如</w:t>
      </w:r>
      <w:r>
        <w:rPr>
          <w:rFonts w:hint="eastAsia"/>
          <w:lang w:val="en-US" w:eastAsia="zh-CN"/>
        </w:rPr>
        <w:t>BMS</w:t>
      </w:r>
      <w:r>
        <w:t>、</w:t>
      </w:r>
      <w:r>
        <w:rPr>
          <w:rFonts w:hint="eastAsia"/>
          <w:lang w:val="en-US" w:eastAsia="zh-CN"/>
        </w:rPr>
        <w:t>API</w:t>
      </w:r>
      <w:r>
        <w:t>、</w:t>
      </w:r>
      <w:r>
        <w:rPr>
          <w:rFonts w:hint="eastAsia"/>
          <w:lang w:val="en-US" w:eastAsia="zh-CN"/>
        </w:rPr>
        <w:t>HMI</w:t>
      </w:r>
      <w:r>
        <w:t>等），统一行业共识，提高标准易读性和可执行</w:t>
      </w:r>
      <w:r>
        <w:rPr>
          <w:rFonts w:hint="eastAsia"/>
        </w:rPr>
        <w:t>性：</w:t>
      </w:r>
    </w:p>
    <w:p w14:paraId="3AAEC21B">
      <w:pPr>
        <w:ind w:firstLine="480" w:firstLineChars="200"/>
      </w:pPr>
      <w:r>
        <w:t>1）TOS——码头操作系统（Terminal Operating System）</w:t>
      </w:r>
    </w:p>
    <w:p w14:paraId="31471397">
      <w:pPr>
        <w:ind w:firstLine="480" w:firstLineChars="200"/>
      </w:pPr>
      <w:r>
        <w:t>2）BMS——堆场管理系统（Block Management System）</w:t>
      </w:r>
    </w:p>
    <w:p w14:paraId="10E32377">
      <w:pPr>
        <w:ind w:firstLine="480" w:firstLineChars="200"/>
      </w:pPr>
      <w:r>
        <w:t>3）ECS——能效控制系统（Energy Control System）</w:t>
      </w:r>
    </w:p>
    <w:p w14:paraId="5DD26D17">
      <w:pPr>
        <w:ind w:firstLine="480" w:firstLineChars="200"/>
      </w:pPr>
      <w:r>
        <w:t>4）UPS——不间断电源（Uninterruptible Power Supply）</w:t>
      </w:r>
    </w:p>
    <w:p w14:paraId="527EE0A4">
      <w:pPr>
        <w:ind w:firstLine="480" w:firstLineChars="200"/>
      </w:pPr>
      <w:r>
        <w:t>5）API——应用程序接口（Application Programming Interface）</w:t>
      </w:r>
    </w:p>
    <w:p w14:paraId="11FF22CA">
      <w:pPr>
        <w:ind w:firstLine="480" w:firstLineChars="200"/>
      </w:pPr>
      <w:r>
        <w:t>6）PROFINET——基于以太网的工业通信协议（Process Field Network）</w:t>
      </w:r>
    </w:p>
    <w:p w14:paraId="3823E005">
      <w:pPr>
        <w:ind w:firstLine="480" w:firstLineChars="200"/>
      </w:pPr>
      <w:r>
        <w:t>7）Modbus TCP——一种工业以太网通信协议</w:t>
      </w:r>
    </w:p>
    <w:p w14:paraId="464FEEC2">
      <w:pPr>
        <w:ind w:firstLine="480" w:firstLineChars="200"/>
      </w:pPr>
      <w:r>
        <w:t>8）Ethernet/IP——以太网工业协议（Industrial Protocol）</w:t>
      </w:r>
    </w:p>
    <w:p w14:paraId="40C1A75B">
      <w:pPr>
        <w:ind w:firstLine="480" w:firstLineChars="200"/>
      </w:pPr>
      <w:r>
        <w:t>9）CANopen——工业控制现场总线协议</w:t>
      </w:r>
    </w:p>
    <w:p w14:paraId="69B9F6AB">
      <w:pPr>
        <w:ind w:firstLine="480" w:firstLineChars="200"/>
      </w:pPr>
      <w:r>
        <w:t>10）LAN——局域网（Local Area Network）</w:t>
      </w:r>
    </w:p>
    <w:p w14:paraId="09B1AF34">
      <w:pPr>
        <w:ind w:firstLine="480" w:firstLineChars="200"/>
      </w:pPr>
      <w:r>
        <w:t>11）VPN——虚拟专用网络（Virtual Private Network）</w:t>
      </w:r>
    </w:p>
    <w:p w14:paraId="6D8DD5BC">
      <w:pPr>
        <w:ind w:firstLine="480" w:firstLineChars="200"/>
      </w:pPr>
      <w:r>
        <w:t>12）TLS/SSL——传输层安全协议/安全套接字层（Transport Layer Security /Secure Sockets Layer）</w:t>
      </w:r>
    </w:p>
    <w:p w14:paraId="14984782">
      <w:pPr>
        <w:ind w:firstLine="480" w:firstLineChars="200"/>
      </w:pPr>
      <w:r>
        <w:t>13）PLC——可编程逻辑控制器（Programmable Logic Controller）</w:t>
      </w:r>
    </w:p>
    <w:p w14:paraId="5F7127EF">
      <w:pPr>
        <w:ind w:firstLine="480" w:firstLineChars="200"/>
      </w:pPr>
      <w:r>
        <w:t>14）HMI——人机界面（Human-Machine Interface）</w:t>
      </w:r>
    </w:p>
    <w:p w14:paraId="1C5DC7FD">
      <w:pPr>
        <w:ind w:firstLine="480" w:firstLineChars="200"/>
      </w:pPr>
      <w:r>
        <w:t>15）SCADA——监控与数据采集系统（Supervisory Control And Data Acquisition）</w:t>
      </w:r>
    </w:p>
    <w:p w14:paraId="11B43DAF">
      <w:pPr>
        <w:ind w:firstLine="480" w:firstLineChars="200"/>
      </w:pPr>
      <w:r>
        <w:t>16）VMS——视频监控系统（Video Monitoring System）</w:t>
      </w:r>
    </w:p>
    <w:p w14:paraId="29E4A938">
      <w:pPr>
        <w:ind w:firstLine="480" w:firstLineChars="200"/>
      </w:pPr>
      <w:r>
        <w:t>17）MFA——多因素认证（Multi-Factor Authentication）</w:t>
      </w:r>
    </w:p>
    <w:p w14:paraId="26C14B95">
      <w:pPr>
        <w:ind w:firstLine="480" w:firstLineChars="200"/>
      </w:pPr>
      <w:r>
        <w:t>18）AES-256——高级加密标准256位（Advanced Encryption Standard 256）</w:t>
      </w:r>
    </w:p>
    <w:p w14:paraId="0C1EE55A">
      <w:pPr>
        <w:pStyle w:val="4"/>
      </w:pPr>
      <w:r>
        <w:t xml:space="preserve">2.2.4 </w:t>
      </w:r>
      <w:r>
        <w:rPr>
          <w:rFonts w:hint="eastAsia"/>
        </w:rPr>
        <w:t>系统</w:t>
      </w:r>
      <w:r>
        <w:t>构成</w:t>
      </w:r>
    </w:p>
    <w:p w14:paraId="67AE6881">
      <w:pPr>
        <w:ind w:firstLine="480" w:firstLineChars="200"/>
        <w:rPr>
          <w:b/>
          <w:bCs/>
        </w:rPr>
      </w:pPr>
      <w:r>
        <w:t>本章节明确了港口集装箱门式起重机自动化系统的组成结构。根据自动化作业的功能分工与技术实现路径，系统采用分层架构，主要由感知层、数据层、支撑层、应用层和安全体系五个部分构成</w:t>
      </w:r>
      <w:r>
        <w:rPr>
          <w:rFonts w:hint="eastAsia"/>
        </w:rPr>
        <w:t>。</w:t>
      </w:r>
      <w:r>
        <w:t>该构成基于广泛的行业调研成果，尤其是对</w:t>
      </w:r>
      <w:r>
        <w:rPr>
          <w:rFonts w:hint="eastAsia"/>
          <w:lang w:val="en-US" w:eastAsia="zh-CN"/>
        </w:rPr>
        <w:t>上海港、</w:t>
      </w:r>
      <w:r>
        <w:t>青岛港、厦门远海码头、广州南沙港等自动化码头的实际应用经验总结，结合国内外先进技术发展趋势而确定，充分反映了行业最新的技术进步成果。</w:t>
      </w:r>
    </w:p>
    <w:p w14:paraId="07654B80">
      <w:pPr>
        <w:pStyle w:val="4"/>
      </w:pPr>
      <w:r>
        <w:rPr>
          <w:rFonts w:hint="eastAsia"/>
        </w:rPr>
        <w:t>2</w:t>
      </w:r>
      <w:r>
        <w:t xml:space="preserve">.2.5 </w:t>
      </w:r>
      <w:r>
        <w:rPr>
          <w:rFonts w:hint="eastAsia"/>
        </w:rPr>
        <w:t>一般要求</w:t>
      </w:r>
    </w:p>
    <w:p w14:paraId="01322A4F">
      <w:pPr>
        <w:ind w:firstLine="480" w:firstLineChars="200"/>
      </w:pPr>
      <w:r>
        <w:t>本节根据国内集装箱门式起重机的自动化技术需求，充分调研了当前主流自动化码头运行情况，并结合实际应用现状与发展趋势，明确了设备在运行环境、通信与数据接口、数据安全与网络安全、远程与系统互操作性等方面的统一要求。</w:t>
      </w:r>
    </w:p>
    <w:p w14:paraId="540E3176">
      <w:pPr>
        <w:rPr>
          <w:szCs w:val="21"/>
        </w:rPr>
      </w:pPr>
      <w:r>
        <w:rPr>
          <w:rFonts w:hint="eastAsia"/>
          <w:szCs w:val="21"/>
        </w:rPr>
        <w:t>2</w:t>
      </w:r>
      <w:r>
        <w:rPr>
          <w:szCs w:val="21"/>
        </w:rPr>
        <w:t xml:space="preserve">.2.5.1 </w:t>
      </w:r>
      <w:r>
        <w:rPr>
          <w:rFonts w:hint="eastAsia"/>
          <w:szCs w:val="21"/>
        </w:rPr>
        <w:t>运行环境</w:t>
      </w:r>
      <w:r>
        <w:rPr>
          <w:szCs w:val="21"/>
        </w:rPr>
        <w:t>条件</w:t>
      </w:r>
    </w:p>
    <w:p w14:paraId="4F78B029">
      <w:pPr>
        <w:ind w:firstLine="480" w:firstLineChars="200"/>
        <w:rPr>
          <w:szCs w:val="21"/>
        </w:rPr>
      </w:pPr>
      <w:r>
        <w:rPr>
          <w:szCs w:val="21"/>
        </w:rPr>
        <w:t>设备应满足港口户外长期运行的环境条件，工作温度范围为-20℃~+45℃，最大相对湿度不超过95%（无凝露），并应具备防腐、防尘、防水、防盐雾、防震动和抗静电等措施，以适应港口作业环境。外壳防护等级不低于IP55，并应符合GB/T 4208的规定。电气系统和控制系统应具备可靠的抗电磁干扰能力，满足GB/T 17626的相关要求。</w:t>
      </w:r>
    </w:p>
    <w:p w14:paraId="044E031D">
      <w:pPr>
        <w:rPr>
          <w:szCs w:val="21"/>
        </w:rPr>
      </w:pPr>
      <w:r>
        <w:rPr>
          <w:rFonts w:hint="eastAsia"/>
          <w:szCs w:val="21"/>
        </w:rPr>
        <w:t>2</w:t>
      </w:r>
      <w:r>
        <w:rPr>
          <w:szCs w:val="21"/>
        </w:rPr>
        <w:t xml:space="preserve">.2.5.2 </w:t>
      </w:r>
      <w:r>
        <w:rPr>
          <w:rFonts w:hint="eastAsia"/>
          <w:szCs w:val="21"/>
        </w:rPr>
        <w:t>通信与数据接口标准</w:t>
      </w:r>
    </w:p>
    <w:p w14:paraId="2E4D69DD">
      <w:pPr>
        <w:ind w:firstLine="480" w:firstLineChars="200"/>
        <w:rPr>
          <w:szCs w:val="21"/>
        </w:rPr>
      </w:pPr>
      <w:r>
        <w:rPr>
          <w:szCs w:val="21"/>
        </w:rPr>
        <w:t>单机系统内部应支持高速工业通信接口，如PROFINET、Modbus TCP、Ethernet/IP和CANopen，并能够无缝接入港口TOS系统、BMS堆场管理系统和ECS能效控制系统。数据处理设备应配备数据备份系统，符合GB/T 21028的相关规定。通信链路宜采用冗余设计，如双网口、自愈环网结构。通信协议和数据接口必须开放，满足多厂商设备的互操作性要求。</w:t>
      </w:r>
    </w:p>
    <w:p w14:paraId="2D9AE5FB">
      <w:pPr>
        <w:rPr>
          <w:szCs w:val="21"/>
        </w:rPr>
      </w:pPr>
      <w:r>
        <w:rPr>
          <w:rFonts w:hint="eastAsia"/>
          <w:szCs w:val="21"/>
        </w:rPr>
        <w:t>2</w:t>
      </w:r>
      <w:r>
        <w:rPr>
          <w:szCs w:val="21"/>
        </w:rPr>
        <w:t xml:space="preserve">.2.5.3 </w:t>
      </w:r>
      <w:r>
        <w:rPr>
          <w:rFonts w:hint="eastAsia"/>
          <w:szCs w:val="21"/>
        </w:rPr>
        <w:t>数据处理</w:t>
      </w:r>
    </w:p>
    <w:p w14:paraId="54CD9C8F">
      <w:pPr>
        <w:ind w:firstLine="480" w:firstLineChars="200"/>
        <w:rPr>
          <w:rFonts w:hint="eastAsia"/>
          <w:szCs w:val="21"/>
        </w:rPr>
      </w:pPr>
      <w:r>
        <w:rPr>
          <w:szCs w:val="21"/>
        </w:rPr>
        <w:t>数据传输全过程（起重机—中控—远程操作台）应采用加密机制，如TLS/SSL协议、AES-256或更高级别的加密算法。系统应具备数据完整性保护，包括数据校验和异常恢复功能。应采用访问控制管理，支持多级权限管理和多因素认证（MFA）。网络安全等级不低于GB/T 25070-2019三级标准，并应部署防火墙、入侵检测与病毒防护系统，以保障核心通信网络安全。</w:t>
      </w:r>
    </w:p>
    <w:p w14:paraId="7BB682A3">
      <w:pPr>
        <w:rPr>
          <w:szCs w:val="21"/>
        </w:rPr>
      </w:pPr>
      <w:r>
        <w:rPr>
          <w:rFonts w:hint="eastAsia"/>
          <w:szCs w:val="21"/>
        </w:rPr>
        <w:t>2</w:t>
      </w:r>
      <w:r>
        <w:rPr>
          <w:szCs w:val="21"/>
        </w:rPr>
        <w:t xml:space="preserve">.2.5.4 </w:t>
      </w:r>
      <w:r>
        <w:rPr>
          <w:rFonts w:hint="eastAsia"/>
          <w:szCs w:val="21"/>
        </w:rPr>
        <w:t>数据存储</w:t>
      </w:r>
    </w:p>
    <w:p w14:paraId="4B37ABDF">
      <w:pPr>
        <w:ind w:firstLine="480" w:firstLineChars="200"/>
        <w:rPr>
          <w:szCs w:val="21"/>
        </w:rPr>
      </w:pPr>
      <w:r>
        <w:rPr>
          <w:szCs w:val="21"/>
        </w:rPr>
        <w:t>本节的数据存储要求参考了《信息安全技术 网络安全等级保护安全设计技术要求》（GB/T 25070），明确自动化设备数据存储系统需具备长期存储能力（≥12个月），支持冗余备份和异常情况下的数据恢复功能；配置不间断电源系统，确保数据存储安全性与完整性。</w:t>
      </w:r>
    </w:p>
    <w:p w14:paraId="35D30003">
      <w:pPr>
        <w:rPr>
          <w:szCs w:val="21"/>
        </w:rPr>
      </w:pPr>
      <w:r>
        <w:rPr>
          <w:rFonts w:hint="eastAsia"/>
          <w:szCs w:val="21"/>
        </w:rPr>
        <w:t>2</w:t>
      </w:r>
      <w:r>
        <w:rPr>
          <w:szCs w:val="21"/>
        </w:rPr>
        <w:t>.2.5.</w:t>
      </w:r>
      <w:r>
        <w:rPr>
          <w:rFonts w:hint="eastAsia"/>
          <w:szCs w:val="21"/>
        </w:rPr>
        <w:t>5</w:t>
      </w:r>
      <w:r>
        <w:rPr>
          <w:szCs w:val="21"/>
        </w:rPr>
        <w:t xml:space="preserve"> </w:t>
      </w:r>
      <w:r>
        <w:rPr>
          <w:rFonts w:hint="eastAsia"/>
          <w:szCs w:val="21"/>
        </w:rPr>
        <w:t>系统集成与互操作性</w:t>
      </w:r>
    </w:p>
    <w:p w14:paraId="281D232B">
      <w:pPr>
        <w:ind w:firstLine="480" w:firstLineChars="200"/>
        <w:rPr>
          <w:szCs w:val="21"/>
        </w:rPr>
      </w:pPr>
      <w:r>
        <w:rPr>
          <w:szCs w:val="21"/>
        </w:rPr>
        <w:t>参照港口自动化设备互联互通的实践经验，明确设备系统接口需标准化、开放化，支持与码头生产管理系统（TOS）和其他自动化设备之间的高效互操作性，接口协议包括PROFIBUS、PROFINET、TCP/IP、Modbus等。明确系统应具备通信故障应急处理机制、数据缓存与备份机制及时间同步功能，确保数据完整性、一致性，保障整体系统稳定运行。</w:t>
      </w:r>
    </w:p>
    <w:p w14:paraId="2A2113B9">
      <w:pPr>
        <w:pStyle w:val="4"/>
      </w:pPr>
      <w:r>
        <w:rPr>
          <w:rFonts w:hint="eastAsia"/>
        </w:rPr>
        <w:t>2</w:t>
      </w:r>
      <w:r>
        <w:t xml:space="preserve">.2.6 </w:t>
      </w:r>
      <w:r>
        <w:rPr>
          <w:rFonts w:hint="eastAsia"/>
        </w:rPr>
        <w:t>技术要求</w:t>
      </w:r>
    </w:p>
    <w:p w14:paraId="7D2807A5">
      <w:pPr>
        <w:widowControl/>
        <w:ind w:firstLine="480" w:firstLineChars="200"/>
        <w:jc w:val="left"/>
      </w:pPr>
      <w:bookmarkStart w:id="3" w:name="_Toc129373350"/>
      <w:r>
        <w:t>本节技术要求的制定，基于对厦门远海、青岛港、广州南沙等典型自动化码头的深入调研，结合国内外先进技术发展现状，系统梳理了集装箱门式起重机自动化系统在不同自动化等级下的关键功能配置。标准条文围绕系统感知、数据处理、运行控制、作业执行和安全防护五大核心功能层，明确了各等级应具备的基本功能、性能指标和系统能力边界，具有可量化、可落地、可评估的特性。通过对六个等级的科学划分，既支持港口企业因地制宜地开展分阶段技术升级，也为行业整体智能化转型提供了清晰的技术路线与评估依据。</w:t>
      </w:r>
    </w:p>
    <w:p w14:paraId="2B14B3A6">
      <w:pPr>
        <w:widowControl/>
        <w:jc w:val="left"/>
        <w:rPr>
          <w:b/>
          <w:bCs/>
        </w:rPr>
      </w:pPr>
      <w:r>
        <w:rPr>
          <w:b/>
          <w:bCs/>
        </w:rPr>
        <w:t>2.2.6.0 自动化等级说明</w:t>
      </w:r>
    </w:p>
    <w:p w14:paraId="543CA0A0">
      <w:pPr>
        <w:widowControl/>
        <w:ind w:firstLine="480" w:firstLineChars="200"/>
        <w:jc w:val="left"/>
      </w:pPr>
      <w:r>
        <w:t>本标准将集装箱门式起重机自动化程度划分为1级至6级，等级越高表示系统的自动化能力越强，人工干预越少，功能越丰富，适应复杂作业环境与高效率运作的能力越强。各级别的定义如下：</w:t>
      </w:r>
    </w:p>
    <w:p w14:paraId="34EAF23E">
      <w:pPr>
        <w:widowControl/>
        <w:numPr>
          <w:ilvl w:val="0"/>
          <w:numId w:val="2"/>
        </w:numPr>
        <w:ind w:left="0" w:firstLine="482" w:firstLineChars="200"/>
        <w:jc w:val="left"/>
      </w:pPr>
      <w:r>
        <w:rPr>
          <w:b/>
          <w:bCs/>
        </w:rPr>
        <w:t>自动化等级1级</w:t>
      </w:r>
      <w:r>
        <w:t>：全部作业由司机在远程操作台手动完成，包括对内外集卡抓放箱、堆场箱抓放、起升、小车及大车运行控制。具备基本信息管控能力，初步具备作业任务管理、数据存储分析及系统状态监控等部分功能。</w:t>
      </w:r>
    </w:p>
    <w:p w14:paraId="345BFF61">
      <w:pPr>
        <w:widowControl/>
        <w:numPr>
          <w:ilvl w:val="0"/>
          <w:numId w:val="2"/>
        </w:numPr>
        <w:ind w:left="0" w:firstLine="482" w:firstLineChars="200"/>
        <w:jc w:val="left"/>
      </w:pPr>
      <w:r>
        <w:rPr>
          <w:b/>
          <w:bCs/>
        </w:rPr>
        <w:t>自动化等级2级</w:t>
      </w:r>
      <w:r>
        <w:t>：司机远程手动操作集卡与堆场抓放作业，大车运行仍由司机控制，起升与小车在安全高度以上可实现自动运行，具备数据存储分析、状态监控及初步吊具防摇控制能力。</w:t>
      </w:r>
    </w:p>
    <w:p w14:paraId="4860F152">
      <w:pPr>
        <w:widowControl/>
        <w:numPr>
          <w:ilvl w:val="0"/>
          <w:numId w:val="2"/>
        </w:numPr>
        <w:ind w:left="0" w:firstLine="482" w:firstLineChars="200"/>
        <w:jc w:val="left"/>
      </w:pPr>
      <w:r>
        <w:rPr>
          <w:b/>
          <w:bCs/>
        </w:rPr>
        <w:t>自动化等级3级</w:t>
      </w:r>
      <w:r>
        <w:t>：司机远程手动操作集卡抓放作业，堆场内抓放、大车、小车与起升在一定高度以上均可自动运行。系统具备完整的信息管控、路径规划、起重机决策能力，控制系统高度集成，全面提升自动作业效率与安全性。</w:t>
      </w:r>
    </w:p>
    <w:p w14:paraId="4A16C2C3">
      <w:pPr>
        <w:widowControl/>
        <w:numPr>
          <w:ilvl w:val="0"/>
          <w:numId w:val="2"/>
        </w:numPr>
        <w:ind w:left="0" w:firstLine="482" w:firstLineChars="200"/>
        <w:jc w:val="left"/>
      </w:pPr>
      <w:r>
        <w:rPr>
          <w:b/>
          <w:bCs/>
        </w:rPr>
        <w:t>自动化等级4级</w:t>
      </w:r>
      <w:r>
        <w:t>：外集卡抓放仍需司机远程控制，内集卡、堆场、起升、小车、大车均为自动作业，具备完整感知、控制与协同作业机制，融合节能控制与智能调度能力，适用于大规模自动化码头作业场景。</w:t>
      </w:r>
    </w:p>
    <w:p w14:paraId="663A82DC">
      <w:pPr>
        <w:widowControl/>
        <w:numPr>
          <w:ilvl w:val="0"/>
          <w:numId w:val="2"/>
        </w:numPr>
        <w:ind w:left="0" w:firstLine="482" w:firstLineChars="200"/>
        <w:jc w:val="left"/>
      </w:pPr>
      <w:r>
        <w:rPr>
          <w:b/>
          <w:bCs/>
        </w:rPr>
        <w:t>自动化等级5级</w:t>
      </w:r>
      <w:r>
        <w:t>：操作全部自动完成，系统集成度高，具备多设备智能联动、作业全流程闭环控制能力，并广泛应用节能技术和环保控制手段。</w:t>
      </w:r>
    </w:p>
    <w:p w14:paraId="6DBB31D2">
      <w:pPr>
        <w:widowControl/>
        <w:numPr>
          <w:ilvl w:val="0"/>
          <w:numId w:val="2"/>
        </w:numPr>
        <w:ind w:left="0" w:firstLine="482" w:firstLineChars="200"/>
        <w:jc w:val="left"/>
      </w:pPr>
      <w:r>
        <w:rPr>
          <w:b/>
          <w:bCs/>
        </w:rPr>
        <w:t>自动化等级6级</w:t>
      </w:r>
      <w:r>
        <w:t>：设备实现全过程无人化自动作业，仅在特殊工况下保留人工远程介入接口。系统具备全面的感知、决策、控制与自学习能力，融合AI算法、数字孪生、边缘计算与云平台协同，实现真正的智慧型码头无人化作业模式，是港口自动化发展的终极形态。</w:t>
      </w:r>
    </w:p>
    <w:p w14:paraId="417347D0">
      <w:pPr>
        <w:widowControl/>
        <w:jc w:val="left"/>
        <w:rPr>
          <w:rFonts w:hint="eastAsia"/>
          <w:b/>
          <w:bCs/>
        </w:rPr>
      </w:pPr>
      <w:r>
        <w:rPr>
          <w:b/>
          <w:bCs/>
        </w:rPr>
        <w:t xml:space="preserve">2.2.6.1 </w:t>
      </w:r>
      <w:r>
        <w:rPr>
          <w:rFonts w:hint="eastAsia"/>
          <w:b/>
          <w:bCs/>
        </w:rPr>
        <w:t>感知层</w:t>
      </w:r>
    </w:p>
    <w:p w14:paraId="1E82979C">
      <w:pPr>
        <w:widowControl/>
        <w:ind w:firstLine="480" w:firstLineChars="200"/>
        <w:jc w:val="left"/>
      </w:pPr>
      <w:r>
        <w:t>感知层是港口集装箱门式起重机自动化系统的基础层级，承担系统对作业对象、设备状态与作业环境的实时感知与反馈任务，为数据处理、路径规划和安全控制提供关键支撑。其核心功能包括：起升、小车、大车的空间定位，吊具姿态识别与状态检测，障碍物、作业人员、集装箱及水平运输车辆的识别与跟踪，以及箱底异物检测与设备健康信息采集等。</w:t>
      </w:r>
    </w:p>
    <w:p w14:paraId="12FF0854">
      <w:pPr>
        <w:widowControl/>
        <w:ind w:firstLine="480" w:firstLineChars="200"/>
        <w:jc w:val="left"/>
      </w:pPr>
      <w:r>
        <w:t>标准条文将感知层能力按照自动化等级从1级至6级进行分级描述。在1级中，系统应具备对关键运动机构的编码器定位与吊具锁定状态感知能力，同时支持障碍物检测与人员存在识别，形成基础感知体系；2级在此基础上引入磁尺辅助定位技术，提升小车定位精度，并初步实现集装箱箱号识别与人员轨迹感知；3级提出应采用激光、二维码等新型融合定位技术，提升整体识别精度与响应频率，增设箱底异物检测与吊具动态状态监测，支持作业人员实时定位与自动报警；4级强化全天候环境适应能力与设备健康感知功能，支持与数据层高效对接；5级实现多目标、多场景的全流程感知，并具备自诊断、自校准功能；6级则引入AI自学习与智能预测机制，全面提升系统在极端环境下的综合感知能力。</w:t>
      </w:r>
    </w:p>
    <w:p w14:paraId="5CEF2B06">
      <w:pPr>
        <w:widowControl/>
        <w:ind w:firstLine="480" w:firstLineChars="200"/>
        <w:jc w:val="left"/>
      </w:pPr>
      <w:r>
        <w:t>本节内容在编制过程中，广泛借鉴了国内港口在图像识别、激光雷达、红外热成像、惯导系统与视频融合技术方面的实际应用经验，并参考了工业领域中成熟的智能感知系统设计方法，确保各等级设置具备可实现性、可评估性与持续拓展性。</w:t>
      </w:r>
    </w:p>
    <w:p w14:paraId="03F34F26">
      <w:pPr>
        <w:widowControl/>
        <w:jc w:val="left"/>
        <w:rPr>
          <w:rFonts w:hint="eastAsia"/>
          <w:b/>
          <w:bCs/>
        </w:rPr>
      </w:pPr>
      <w:r>
        <w:rPr>
          <w:b/>
          <w:bCs/>
        </w:rPr>
        <w:t xml:space="preserve">2.2.6.2 </w:t>
      </w:r>
      <w:r>
        <w:rPr>
          <w:rFonts w:hint="eastAsia"/>
          <w:b/>
          <w:bCs/>
        </w:rPr>
        <w:t>数据层</w:t>
      </w:r>
    </w:p>
    <w:p w14:paraId="6D4910E6">
      <w:pPr>
        <w:widowControl/>
        <w:ind w:firstLine="480" w:firstLineChars="200"/>
        <w:jc w:val="left"/>
      </w:pPr>
      <w:r>
        <w:t>数据层作为自动化系统的数据中枢，承担来自感知层的信息采集、处理、存储与输出任务，是支撑系统智能运行的基础平台。其核心目标是确保多源数据在高并发、复杂工况下的稳定流转和安全管理，为控制逻辑、运行策略及作业优化提供及时、准确、可信的数据支撑。</w:t>
      </w:r>
    </w:p>
    <w:p w14:paraId="271A4417">
      <w:pPr>
        <w:widowControl/>
        <w:ind w:firstLine="480" w:firstLineChars="200"/>
        <w:jc w:val="left"/>
      </w:pPr>
      <w:r>
        <w:t>标准条文在分级设计中，提出了数据层在数据延迟、刷新频率、融合能力、存储能力与接口开放性等方面的逐级提升要求。1级主要满足本地数据采集与存储，适配基本工业通信协议，并可进行异常数据过滤；2级引入千兆以太网通信、RAID备份机制与多源融合处理，具备对外数据接口能力；3级以上应支持分布式与云端存储架构、断点续传机制、趋势分析、故障预警、数据加密输出等功能，进一步提升数据的处理深度与广度；4级强调智能化数据调度与容灾能力，5级以上需实现跨设备数据共享、远程访问诊断与动态权限控制；6级则引入AI辅助的数据自学习采集与异常自修复机制，构建面向未来的智能数据平台。</w:t>
      </w:r>
    </w:p>
    <w:p w14:paraId="35B2EC90">
      <w:pPr>
        <w:widowControl/>
        <w:ind w:firstLine="480" w:firstLineChars="200"/>
        <w:jc w:val="left"/>
      </w:pPr>
      <w:r>
        <w:t>该部分技术架构充分借鉴了智慧港口中数据湖、大数据平台和边缘计算系统的建设经验，同时参考了《GB/T 21028 信息安全技术 服务器安全技术要求》《GB/T 37025 信息安全技术 物联网数据传输安全技术要求》等标准，确保各等级数据能力的构建具有可靠的技术落地基础和行业安全合规性。</w:t>
      </w:r>
    </w:p>
    <w:p w14:paraId="77300642">
      <w:pPr>
        <w:widowControl/>
        <w:jc w:val="left"/>
        <w:rPr>
          <w:rFonts w:hint="eastAsia"/>
          <w:b/>
          <w:bCs/>
        </w:rPr>
      </w:pPr>
      <w:r>
        <w:rPr>
          <w:b/>
          <w:bCs/>
        </w:rPr>
        <w:t xml:space="preserve">2.2.6.3 </w:t>
      </w:r>
      <w:r>
        <w:rPr>
          <w:rFonts w:hint="eastAsia"/>
          <w:b/>
          <w:bCs/>
        </w:rPr>
        <w:t>支撑层</w:t>
      </w:r>
    </w:p>
    <w:p w14:paraId="709F6C87">
      <w:pPr>
        <w:widowControl/>
        <w:ind w:firstLine="480" w:firstLineChars="200"/>
        <w:jc w:val="left"/>
      </w:pPr>
      <w:r>
        <w:t>支撑层是系统实现智能控制与运行保障的核心模块，承担路径优化、防摇控制、姿态调整、设备健康管理、能耗分析及视频处理等关键功能，是实现高效、安全作业的重要枢纽。</w:t>
      </w:r>
    </w:p>
    <w:p w14:paraId="2F1365F0">
      <w:pPr>
        <w:widowControl/>
        <w:ind w:firstLine="480" w:firstLineChars="200"/>
        <w:jc w:val="left"/>
      </w:pPr>
      <w:r>
        <w:t>本标准从1级至6级，明确了支撑层在控制算法复杂度、决策能力与系统响应效率方面的逐级演进路径。1级主要实现基础防摇控制与有限路径规划，适配人工操作辅助需求；2级增加自动参数调整与动态避障功能，具备能耗监控与基本健康评估能力；3级以上引入防扭控制、姿态自主调整、趋势分析与故障预测等功能，诊断准确率需达到85%以上；4级应支持多设备协同、任务优先级动态调整与自动能效调度；5级系统需支持全过程闭环控制与多维优化策略，视频系统具备异常行为识别与数据联动能力；6级则要求全面部署AI自学习控制模块，实现自动策略调整、故障自愈及全系统智能联动，满足极端复杂场景下的运行需求。</w:t>
      </w:r>
    </w:p>
    <w:p w14:paraId="497428F1">
      <w:pPr>
        <w:widowControl/>
        <w:ind w:firstLine="480" w:firstLineChars="200"/>
        <w:jc w:val="left"/>
        <w:rPr>
          <w:rFonts w:hint="eastAsia"/>
        </w:rPr>
      </w:pPr>
      <w:r>
        <w:t>本条内容在编制中借鉴了上海振华重工与厦门远海码头在变频控制、防摇优化、健康状态评估及节能控制方面的实践经验，结合港口设备协同控制与预测性运维平台的功能设计逻辑，为系统支撑能力划分提供了科学、完整的功能体系。</w:t>
      </w:r>
    </w:p>
    <w:p w14:paraId="08538D7B">
      <w:pPr>
        <w:widowControl/>
        <w:jc w:val="left"/>
        <w:rPr>
          <w:rFonts w:hint="eastAsia"/>
          <w:b/>
          <w:bCs/>
        </w:rPr>
      </w:pPr>
      <w:r>
        <w:rPr>
          <w:b/>
          <w:bCs/>
        </w:rPr>
        <w:t xml:space="preserve">2.2.6.4 </w:t>
      </w:r>
      <w:r>
        <w:rPr>
          <w:rFonts w:hint="eastAsia"/>
          <w:b/>
          <w:bCs/>
        </w:rPr>
        <w:t>应用层</w:t>
      </w:r>
    </w:p>
    <w:p w14:paraId="780A9F7E">
      <w:pPr>
        <w:widowControl/>
        <w:ind w:firstLine="480" w:firstLineChars="200"/>
        <w:jc w:val="left"/>
      </w:pPr>
      <w:r>
        <w:t>应用层是系统面向作业执行与远程管理的功能集合，覆盖起重机作业全过程的任务调度、防撞防扭、远程操作、状态监测、视频与网络管理等内容，是连接设备控制与运营管理的关键接口。</w:t>
      </w:r>
    </w:p>
    <w:p w14:paraId="4A95A6EC">
      <w:pPr>
        <w:widowControl/>
        <w:ind w:firstLine="480" w:firstLineChars="200"/>
        <w:jc w:val="left"/>
      </w:pPr>
      <w:r>
        <w:t>标准将应用层功能划分为从基础操作辅助到全面智能调度的六个等级。1级以远程手动控制为主，支持基本作业状态显示和视频回传；2级增加作业任务状态记录、多任务基本分配、路径避障与初级跳台管理功能；3级引入堆场自动抓放、作业优先级调整、视频行为分析与异常报警；4级系统可实现车道侧自动抓放、复杂作业协同调度与智能视频监控联动；5级强调全过程作业流程的智能化管理，支持任务闭环反馈与跨平台自动调度；6级则需部署基于AI算法的自主作业优化模块，实现远程操作辅助、资源动态分配与异常自恢复能力。</w:t>
      </w:r>
    </w:p>
    <w:p w14:paraId="615EB4B5">
      <w:pPr>
        <w:widowControl/>
        <w:ind w:firstLine="480" w:firstLineChars="200"/>
        <w:jc w:val="left"/>
        <w:rPr>
          <w:rFonts w:hint="eastAsia"/>
        </w:rPr>
      </w:pPr>
      <w:r>
        <w:t>应用层内容广泛参考了厦门远海远控中心作业流程配置、上海港智能作业调度系统，以及广州南沙智能跳台与视频联动系统的实际建设经验，结合TOS系统对接场景与作业安全管控要求，确保应用功能具备业务一致性与技术先进性。</w:t>
      </w:r>
    </w:p>
    <w:p w14:paraId="094776FF">
      <w:pPr>
        <w:widowControl/>
        <w:jc w:val="left"/>
        <w:rPr>
          <w:rFonts w:hint="eastAsia"/>
          <w:b/>
          <w:bCs/>
        </w:rPr>
      </w:pPr>
      <w:r>
        <w:rPr>
          <w:b/>
          <w:bCs/>
        </w:rPr>
        <w:t xml:space="preserve">2.2.6.5 </w:t>
      </w:r>
      <w:r>
        <w:rPr>
          <w:rFonts w:hint="eastAsia"/>
          <w:b/>
          <w:bCs/>
        </w:rPr>
        <w:t>保护层</w:t>
      </w:r>
    </w:p>
    <w:p w14:paraId="5614C9AB">
      <w:pPr>
        <w:widowControl/>
        <w:ind w:firstLine="480" w:firstLineChars="200"/>
        <w:jc w:val="left"/>
      </w:pPr>
      <w:r>
        <w:t>保护层是系统安全防护与风险控制的最后一道防线，涵盖人员安全、设备保护与网络安全三大维度，目标是保障作业人员生命安全、设备运行稳定及数据系统免受恶意入侵。</w:t>
      </w:r>
    </w:p>
    <w:p w14:paraId="76897D02">
      <w:pPr>
        <w:widowControl/>
        <w:ind w:firstLine="480" w:firstLineChars="200"/>
        <w:jc w:val="left"/>
      </w:pPr>
      <w:r>
        <w:t>标准从1级至6级，设置了分级递进的防护能力体系。1级实现基础设备防撞与数据加密；2级扩展为门禁识别、区域入侵检测、车辆异常识别与多因素身份认证；3级以上应实现人脸与工牌识别、人员实时定位与报警、车辆精准联动停机、故障预测与日志追溯；4级强调全天候高可靠运行与风险趋势分析，网络侧需支持自动日志分析与快速响应；5级实现跨系统风险联防联控与动态调整策略；6级全面部署AI智能防护系统，支持安全策略自适应、风险行为识别与攻击防御溯源。</w:t>
      </w:r>
    </w:p>
    <w:p w14:paraId="138DB868">
      <w:pPr>
        <w:widowControl/>
        <w:ind w:firstLine="480" w:firstLineChars="200"/>
        <w:jc w:val="left"/>
      </w:pPr>
      <w:r>
        <w:t>本节内容在制定过程中，参考了港口行业人机协同防护系统、轨迹追踪与虚拟围栏平台建设成果，辅以《GB/T 25070 网络安全等级保护设计技术要求》相关条款，并结合典型港区对AI行为识别与视频异常判断的实际需求，确保保护层在功能覆盖与等级细化方面具有可评估与可实施性。</w:t>
      </w:r>
    </w:p>
    <w:p w14:paraId="4C492086">
      <w:pPr>
        <w:widowControl/>
        <w:jc w:val="left"/>
        <w:rPr>
          <w:b/>
          <w:bCs/>
        </w:rPr>
      </w:pPr>
      <w:r>
        <w:rPr>
          <w:b/>
          <w:bCs/>
        </w:rPr>
        <w:t>2.2.6.6 其他能力</w:t>
      </w:r>
    </w:p>
    <w:p w14:paraId="2C719FC1">
      <w:pPr>
        <w:ind w:firstLine="480" w:firstLineChars="200"/>
      </w:pPr>
      <w:r>
        <w:t>本节规定远程操作、网络通信与视频监控功能（见标准6.7条款）。</w:t>
      </w:r>
    </w:p>
    <w:p w14:paraId="1E0A783F">
      <w:pPr>
        <w:ind w:firstLine="480" w:firstLineChars="200"/>
      </w:pPr>
      <w:r>
        <w:t>在标准6.7.2条款中规定，自动化等级1级至5级设备应具备远程操作功能，通信系统应采用高带宽、低时延技术（如工业级光纤、5G或Wi-Fi 6），系统响应延迟不应超过200毫秒；远程界面应提供作业状态、设备健康数据、报警提示等可视化信息，具备任务下达与反馈执行能力；自动化等级6级设备应支持边缘计算架构与分布式决策，支持3D数字孪生界面、AR操作辅助与语音/手势交互，实现远程作业全流程智能协同与自主控制。</w:t>
      </w:r>
    </w:p>
    <w:p w14:paraId="12B3C728">
      <w:pPr>
        <w:ind w:firstLine="480" w:firstLineChars="200"/>
      </w:pPr>
      <w:r>
        <w:t>在标准6.7.3条款中规定，自动化等级1级至5级设备应具备对外网络通信功能，应支持TCP/IP、PROFINET、Modbus、CAN总线等多种工业通信协议，实现与TOS、ECS、BMS等系统的数据互联互通；系统网络安全能力应满足《GB/T 25070》三级等级保护要求，具备防火墙、数据加密、访问权限分级管理、操作审计等功能；自动化等级6级设备应引入工业物联网协议（如OPC UA、MQTT），并具备边缘侧智能接入与云端数据同步能力，结合安全态势感知系统实现网络实时安全评估与自适应响应。</w:t>
      </w:r>
    </w:p>
    <w:p w14:paraId="15EBFAD6">
      <w:pPr>
        <w:ind w:firstLine="480" w:firstLineChars="200"/>
      </w:pPr>
      <w:r>
        <w:t>在标准6.7.4条款中规定，自动化等级2级至5级设备应配备高清视频监控系统，分辨率不低于1080p，支持全天候昼夜监控，具备夜视、红外成像和环境感应调节功能，覆盖堆场、车道、大车运行路径等关键区域；3级以上设备应具备智能视频分析功能，系统可自动识别人员入侵、障碍物异常、设备状态异常，并自动联动报警处理；自动化等级6级设备应支持多视角智能联动跟拍、4K变焦及视频结构化分析功能，可基于作业目标行为预测实现危险趋势识别、智能预警和自动处置。所有自动化等级系统应具备视频长期存储能力，存储周期不少于90天，支持远程回放、异常检索与事件分析。</w:t>
      </w:r>
    </w:p>
    <w:p w14:paraId="68B4A7D6">
      <w:pPr>
        <w:pStyle w:val="2"/>
        <w:rPr>
          <w:rFonts w:hint="eastAsia"/>
        </w:rPr>
      </w:pPr>
      <w:r>
        <w:t>3 综述报告，技术经济论证，预期的经济效果</w:t>
      </w:r>
    </w:p>
    <w:p w14:paraId="7597AEEE">
      <w:pPr>
        <w:ind w:firstLine="480" w:firstLineChars="200"/>
      </w:pPr>
      <w:r>
        <w:t>港口是国家经济社会发展的重要战略资源和关键枢纽，承担着国际贸易往来的重要职责。根据交通运输部发布的统计数据显示，“十三五”期间我国港口货物吞吐量以年均3.2%的速度稳定增长，预计2025年全国港口货物吞吐量将达到约164亿吨。其中，集装箱吞吐量的增长尤为显著，已成为衡量港口竞争力的重要标志。随着全球经济贸易的深入发展，集装箱码头作为国际航运的核心节点，其自动化、智能化发展水平直接关系到港口作业效率与国际竞争能力的提升。为适应这一发展趋势，推动集装箱码头向智能化和自动化转型升级，已成为我国港口行业实现高质量发展的战略选择。</w:t>
      </w:r>
    </w:p>
    <w:p w14:paraId="571ED9C5">
      <w:pPr>
        <w:ind w:firstLine="480" w:firstLineChars="200"/>
      </w:pPr>
      <w:r>
        <w:t>2019年11月，交通运输部等九部门联合印发的《关于建设世界一流港口的指导意见》明确提出，要加快建设安全便捷、智慧绿色、经济高效、支撑有力、世界先进的世界一流港口，以提升港口整体竞争力和全球影响力。2020年8月，交通运输部发布了《关于推动交通运输领域新型基础设施建设的指导意见》，进一步明确了智慧港口建设作为交通运输领域新型基础设施的重要组成部分，提出了加快设备远程操控、智能安防预警、设备状态实时监测等关键任务。</w:t>
      </w:r>
    </w:p>
    <w:p w14:paraId="55953767">
      <w:pPr>
        <w:ind w:firstLine="480" w:firstLineChars="200"/>
      </w:pPr>
      <w:r>
        <w:t>近年来，全球港口行业的自动化技术发展迅猛，目前全球已有127座自动化码头，且这一数字仍在持续增长。在集装箱码头领域，以门式起重机为代表的装卸设备的自动化、智能化改造和升级成为趋势。自动化集装箱码头在有效提升港口作业效率、降低运营成本、减少安全事故发生率、提升服务质量和降低能源消耗等方面发挥了重要作用。然而，我国现有集装箱门式起重机自动化技术水平不一，自动化技术要求尚未统一、规范，导致不同港口自动化设备技术参差不齐，不利于设备的规模化应用和运营维护成本的降低。因此，迫切需要制定集装箱门式起重机自动化技术标准，规范技术要求和功能等级，支撑港口行业智能化、自动化的高质量发展。</w:t>
      </w:r>
    </w:p>
    <w:p w14:paraId="587B4647">
      <w:pPr>
        <w:ind w:firstLine="480" w:firstLineChars="200"/>
      </w:pPr>
      <w:r>
        <w:t>集装箱门式起重机作为集装箱堆场作业的核心设备，其自动化改造不仅能够提升单机效率，还能全面提高码头的整体运营效率，促进智慧港口建设。传统门式起重机主要依靠人工操作，存在作业效率低、人工成本高、事故风险较大等问题，已难以满足日益增长的吞吐量需求。而自动化技术的引入，能够显著提高设备作业效率、降低人为失误率和设备维护成本，实现设备的实时状态监测与故障预测，确保设备长期高效稳定运行。同时，自动化门式起重机在精准控制和智能路径规划方面的优势，将进一步提升码头空间利用效率和作业安全水平。</w:t>
      </w:r>
    </w:p>
    <w:p w14:paraId="0C440629">
      <w:pPr>
        <w:ind w:firstLine="480" w:firstLineChars="200"/>
      </w:pPr>
      <w:r>
        <w:t>具体而言，本标准的制定通过明确集装箱门式起重机自动化等级及相关技术要求，将有效规范设备的决策能力、感知能力、控制能力、安全保护能力、能源与环境优化能力等关键技术模块，建立科学的自动化技术评价体系。这将为港口企业提供清晰的技术路线图，使企业能根据自身条件合理规划自动化改造方案，降低技术实施风险和成本投入。</w:t>
      </w:r>
    </w:p>
    <w:p w14:paraId="28AD09BE">
      <w:pPr>
        <w:ind w:firstLine="480" w:firstLineChars="200"/>
      </w:pPr>
      <w:r>
        <w:t>经济效益方面，标准的实施预计将显著提升设备作业效率和堆场空间利用率。据初步测算，自动化改造后的集装箱门式起重机，单机作业效率相比传统人工操作模式可提高30%以上，综合运营成本则有望降低约20%以上。设备远程诊断与预测性维护功能的引入，设备维护成本也有望降低15%以上。同时，标准的统一推广应用将推动设备的批量生产和规模化应用，显著降低设备采购成本和技术改造成本，提高企业经济效益。</w:t>
      </w:r>
    </w:p>
    <w:p w14:paraId="115B965E">
      <w:pPr>
        <w:ind w:firstLine="480" w:firstLineChars="200"/>
      </w:pPr>
      <w:r>
        <w:t>社会效益方面，本标准的推广将全面提高港口作业的安全可靠性，降低人为事故发生概率，提升港口整体安全管理水平。此外，自动化技术和新能源应用将显著降低港口能源消耗和污染物排放，积极推动港口绿色转型。通过标准化的技术应用与推广，能够有效推动行业技术水平的提升与技术交流合作，进一步促进我国港口行业在国际市场的竞争力，推动国际港口自动化技术合作，增强我国港口行业的国际影响力。</w:t>
      </w:r>
    </w:p>
    <w:p w14:paraId="173FAC95">
      <w:pPr>
        <w:ind w:firstLine="480" w:firstLineChars="200"/>
      </w:pPr>
      <w:r>
        <w:t>综上所述，本标准的制定和实施，是推动集装箱门式起重机自动化技术规范化发展的重要举措，不仅可大幅提升设备的运行效率和经济效益，还有助于实现港口运营安全、能源环境友好和可持续发展的战略目标，对于建设世界一流港口，支撑我国经济社会的高质量发展具有积极深远的意义。</w:t>
      </w:r>
    </w:p>
    <w:p w14:paraId="78FF7A49">
      <w:pPr>
        <w:pStyle w:val="2"/>
        <w:rPr>
          <w:rFonts w:hint="eastAsia"/>
        </w:rPr>
      </w:pPr>
      <w:r>
        <w:rPr>
          <w:rFonts w:hint="eastAsia"/>
        </w:rPr>
        <w:t>4国外相关法律、法规和标准情况的说明</w:t>
      </w:r>
      <w:bookmarkEnd w:id="3"/>
    </w:p>
    <w:p w14:paraId="7C033EE6">
      <w:r>
        <w:rPr>
          <w:rFonts w:hint="eastAsia" w:asciiTheme="minorEastAsia" w:hAnsiTheme="minorEastAsia" w:eastAsiaTheme="minorEastAsia" w:cstheme="majorBidi"/>
          <w:bCs/>
          <w:szCs w:val="24"/>
        </w:rPr>
        <w:t>暂</w:t>
      </w:r>
      <w:r>
        <w:rPr>
          <w:rFonts w:hint="eastAsia"/>
        </w:rPr>
        <w:t>无</w:t>
      </w:r>
      <w:r>
        <w:t>。</w:t>
      </w:r>
    </w:p>
    <w:p w14:paraId="2390EB7A">
      <w:pPr>
        <w:pStyle w:val="2"/>
        <w:rPr>
          <w:rFonts w:hint="eastAsia"/>
        </w:rPr>
      </w:pPr>
      <w:bookmarkStart w:id="4" w:name="_Toc129373351"/>
      <w:r>
        <w:rPr>
          <w:rFonts w:hint="eastAsia"/>
        </w:rPr>
        <w:t>5</w:t>
      </w:r>
      <w:r>
        <w:rPr>
          <w:rFonts w:hint="eastAsia"/>
        </w:rPr>
        <w:tab/>
      </w:r>
      <w:r>
        <w:rPr>
          <w:rFonts w:hint="eastAsia"/>
        </w:rPr>
        <w:t>与我国有关的现行法律、法规和强制性标准的关系</w:t>
      </w:r>
      <w:bookmarkEnd w:id="4"/>
    </w:p>
    <w:p w14:paraId="09A66CC8">
      <w:pPr>
        <w:ind w:firstLine="480" w:firstLineChars="200"/>
      </w:pPr>
      <w:r>
        <w:rPr>
          <w:rFonts w:hint="eastAsia"/>
        </w:rPr>
        <w:t>本标准与国家标准</w:t>
      </w:r>
      <w:r>
        <w:t>《港口起重机工程技术标准》（GB/T 50431）、《港口装卸术语》（GB/T 8487）、《集装箱术语》（GB/T 1992）、《电磁兼容 试验和测量技术》（GB/T 17626）、《外壳防护等级(IP代码)》（GB/T 4208）和《信息安全技术 网络安全等级保护基本要求》（GB/T 22239）</w:t>
      </w:r>
      <w:r>
        <w:rPr>
          <w:rFonts w:hint="eastAsia"/>
        </w:rPr>
        <w:t>等具有关联性，标准起草中采用规范性引用和参考的方式，实现了标准技术内容间的协调。</w:t>
      </w:r>
    </w:p>
    <w:p w14:paraId="50A7F6BE">
      <w:pPr>
        <w:ind w:firstLine="480" w:firstLineChars="200"/>
        <w:rPr>
          <w:rFonts w:hint="eastAsia" w:asciiTheme="minorEastAsia" w:hAnsiTheme="minorEastAsia" w:eastAsiaTheme="minorEastAsia" w:cstheme="majorBidi"/>
          <w:bCs/>
          <w:szCs w:val="24"/>
        </w:rPr>
      </w:pPr>
      <w:r>
        <w:rPr>
          <w:rFonts w:hint="eastAsia"/>
        </w:rPr>
        <w:t>标准在编写过程中，充分研究了相关的现行法律、法规和国家、行业标准。标准与既有法律、法规及标准体系不冲突，与现行有效的国家标准和行业标准不矛盾，保持协调一致。</w:t>
      </w:r>
    </w:p>
    <w:p w14:paraId="56B1B8CE">
      <w:pPr>
        <w:pStyle w:val="2"/>
        <w:rPr>
          <w:rFonts w:hint="eastAsia"/>
        </w:rPr>
      </w:pPr>
      <w:bookmarkStart w:id="5" w:name="_Toc129373352"/>
      <w:r>
        <w:rPr>
          <w:rFonts w:hint="eastAsia"/>
        </w:rPr>
        <w:t>6</w:t>
      </w:r>
      <w:r>
        <w:rPr>
          <w:rFonts w:hint="eastAsia"/>
        </w:rPr>
        <w:tab/>
      </w:r>
      <w:r>
        <w:rPr>
          <w:rFonts w:hint="eastAsia"/>
        </w:rPr>
        <w:t>重大分歧意见的处理经过和依据</w:t>
      </w:r>
      <w:bookmarkEnd w:id="5"/>
    </w:p>
    <w:p w14:paraId="7B0B923F">
      <w:pPr>
        <w:widowControl/>
        <w:jc w:val="left"/>
        <w:rPr>
          <w:rFonts w:hint="eastAsia" w:asciiTheme="minorEastAsia" w:hAnsiTheme="minorEastAsia" w:eastAsiaTheme="minorEastAsia" w:cstheme="majorBidi"/>
          <w:bCs/>
          <w:szCs w:val="24"/>
        </w:rPr>
      </w:pPr>
      <w:r>
        <w:rPr>
          <w:rFonts w:hint="eastAsia" w:asciiTheme="minorEastAsia" w:hAnsiTheme="minorEastAsia" w:eastAsiaTheme="minorEastAsia" w:cstheme="majorBidi"/>
          <w:bCs/>
          <w:szCs w:val="24"/>
        </w:rPr>
        <w:t>暂无</w:t>
      </w:r>
      <w:r>
        <w:rPr>
          <w:rFonts w:asciiTheme="minorEastAsia" w:hAnsiTheme="minorEastAsia" w:eastAsiaTheme="minorEastAsia" w:cstheme="majorBidi"/>
          <w:bCs/>
          <w:szCs w:val="24"/>
        </w:rPr>
        <w:t>。</w:t>
      </w:r>
    </w:p>
    <w:p w14:paraId="05F66BCF">
      <w:pPr>
        <w:pStyle w:val="2"/>
        <w:rPr>
          <w:rFonts w:hint="eastAsia"/>
        </w:rPr>
      </w:pPr>
      <w:bookmarkStart w:id="6" w:name="_Toc129373353"/>
      <w:r>
        <w:rPr>
          <w:rFonts w:hint="eastAsia"/>
        </w:rPr>
        <w:t>7</w:t>
      </w:r>
      <w:r>
        <w:rPr>
          <w:rFonts w:hint="eastAsia"/>
        </w:rPr>
        <w:tab/>
      </w:r>
      <w:r>
        <w:rPr>
          <w:rFonts w:hint="eastAsia"/>
        </w:rPr>
        <w:t>贯彻标准的要求和措施建议</w:t>
      </w:r>
      <w:bookmarkEnd w:id="6"/>
    </w:p>
    <w:p w14:paraId="59928D7C">
      <w:pPr>
        <w:widowControl/>
        <w:jc w:val="left"/>
        <w:rPr>
          <w:rFonts w:hint="eastAsia" w:asciiTheme="minorEastAsia" w:hAnsiTheme="minorEastAsia" w:eastAsiaTheme="minorEastAsia" w:cstheme="majorBidi"/>
          <w:bCs/>
          <w:szCs w:val="24"/>
        </w:rPr>
      </w:pPr>
      <w:r>
        <w:rPr>
          <w:rFonts w:hint="eastAsia" w:asciiTheme="minorEastAsia" w:hAnsiTheme="minorEastAsia" w:eastAsiaTheme="minorEastAsia" w:cstheme="majorBidi"/>
          <w:bCs/>
          <w:szCs w:val="24"/>
        </w:rPr>
        <w:t xml:space="preserve">    暂无。</w:t>
      </w:r>
    </w:p>
    <w:p w14:paraId="664AAB1B">
      <w:pPr>
        <w:pStyle w:val="2"/>
        <w:rPr>
          <w:rFonts w:hint="eastAsia"/>
        </w:rPr>
      </w:pPr>
      <w:bookmarkStart w:id="7" w:name="_Toc129373354"/>
      <w:r>
        <w:rPr>
          <w:rFonts w:hint="eastAsia"/>
        </w:rPr>
        <w:t>8</w:t>
      </w:r>
      <w:r>
        <w:rPr>
          <w:rFonts w:hint="eastAsia"/>
        </w:rPr>
        <w:tab/>
      </w:r>
      <w:r>
        <w:rPr>
          <w:rFonts w:hint="eastAsia"/>
        </w:rPr>
        <w:t>废止现行有关标准的建议</w:t>
      </w:r>
      <w:bookmarkEnd w:id="7"/>
    </w:p>
    <w:p w14:paraId="59931B93">
      <w:pPr>
        <w:widowControl/>
        <w:jc w:val="left"/>
        <w:rPr>
          <w:rFonts w:hint="eastAsia" w:asciiTheme="minorEastAsia" w:hAnsiTheme="minorEastAsia" w:eastAsiaTheme="minorEastAsia" w:cstheme="majorBidi"/>
          <w:bCs/>
          <w:szCs w:val="24"/>
        </w:rPr>
      </w:pPr>
      <w:r>
        <w:rPr>
          <w:rFonts w:hint="eastAsia" w:asciiTheme="minorEastAsia" w:hAnsiTheme="minorEastAsia" w:eastAsiaTheme="minorEastAsia" w:cstheme="majorBidi"/>
          <w:bCs/>
          <w:szCs w:val="24"/>
        </w:rPr>
        <w:t xml:space="preserve">  无。</w:t>
      </w:r>
    </w:p>
    <w:p w14:paraId="7B95BE66">
      <w:pPr>
        <w:pStyle w:val="2"/>
        <w:rPr>
          <w:rFonts w:hint="eastAsia"/>
        </w:rPr>
      </w:pPr>
      <w:bookmarkStart w:id="8" w:name="_Toc129373355"/>
      <w:r>
        <w:rPr>
          <w:rFonts w:hint="eastAsia"/>
        </w:rPr>
        <w:t>9</w:t>
      </w:r>
      <w:r>
        <w:rPr>
          <w:rFonts w:hint="eastAsia"/>
        </w:rPr>
        <w:tab/>
      </w:r>
      <w:r>
        <w:rPr>
          <w:rFonts w:hint="eastAsia"/>
        </w:rPr>
        <w:t>其他应予说明的事项</w:t>
      </w:r>
      <w:bookmarkEnd w:id="8"/>
    </w:p>
    <w:p w14:paraId="3AB653C1">
      <w:pPr>
        <w:widowControl/>
        <w:jc w:val="left"/>
        <w:rPr>
          <w:rFonts w:hint="eastAsia" w:ascii="宋体" w:hAnsi="宋体"/>
          <w:szCs w:val="24"/>
        </w:rPr>
      </w:pPr>
      <w:r>
        <w:rPr>
          <w:rFonts w:hint="eastAsia" w:asciiTheme="minorEastAsia" w:hAnsiTheme="minorEastAsia" w:eastAsiaTheme="minorEastAsia" w:cstheme="majorBidi"/>
          <w:bCs/>
          <w:szCs w:val="24"/>
        </w:rPr>
        <w:t>暂无。</w:t>
      </w:r>
      <w:bookmarkEnd w:id="0"/>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DF7E">
    <w:pPr>
      <w:pStyle w:val="9"/>
      <w:jc w:val="right"/>
    </w:pPr>
  </w:p>
  <w:p w14:paraId="25CD91BB">
    <w:pPr>
      <w:pStyle w:val="9"/>
      <w:jc w:val="center"/>
      <w:rPr>
        <w:rFonts w:ascii="Arial Narrow" w:hAnsi="Arial Narrow"/>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2561"/>
      <w:docPartObj>
        <w:docPartGallery w:val="AutoText"/>
      </w:docPartObj>
    </w:sdtPr>
    <w:sdtContent>
      <w:p w14:paraId="2B7A5AA3">
        <w:pPr>
          <w:pStyle w:val="9"/>
          <w:jc w:val="right"/>
        </w:pPr>
        <w:r>
          <w:fldChar w:fldCharType="begin"/>
        </w:r>
        <w:r>
          <w:instrText xml:space="preserve"> PAGE   \* MERGEFORMAT </w:instrText>
        </w:r>
        <w:r>
          <w:fldChar w:fldCharType="separate"/>
        </w:r>
        <w:r>
          <w:rPr>
            <w:lang w:val="zh-CN"/>
          </w:rPr>
          <w:t>1</w:t>
        </w:r>
        <w:r>
          <w:rPr>
            <w:lang w:val="zh-CN"/>
          </w:rPr>
          <w:fldChar w:fldCharType="end"/>
        </w:r>
      </w:p>
    </w:sdtContent>
  </w:sdt>
  <w:p w14:paraId="0FF3F336">
    <w:pPr>
      <w:pStyle w:val="9"/>
      <w:jc w:val="center"/>
      <w:rPr>
        <w:rFonts w:ascii="Arial Narrow" w:hAnsi="Arial Narrow"/>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431C80"/>
    <w:multiLevelType w:val="multilevel"/>
    <w:tmpl w:val="34431C8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5AC7406D"/>
    <w:multiLevelType w:val="multilevel"/>
    <w:tmpl w:val="5AC7406D"/>
    <w:lvl w:ilvl="0" w:tentative="0">
      <w:start w:val="1"/>
      <w:numFmt w:val="decimal"/>
      <w:lvlText w:val="%1"/>
      <w:lvlJc w:val="left"/>
      <w:pPr>
        <w:ind w:left="450" w:hanging="450"/>
      </w:pPr>
      <w:rPr>
        <w:rFonts w:hint="default"/>
      </w:rPr>
    </w:lvl>
    <w:lvl w:ilvl="1" w:tentative="0">
      <w:start w:val="1"/>
      <w:numFmt w:val="decimal"/>
      <w:lvlText w:val="%1.%2"/>
      <w:lvlJc w:val="left"/>
      <w:pPr>
        <w:ind w:left="450" w:hanging="45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B6"/>
    <w:rsid w:val="00000A47"/>
    <w:rsid w:val="00007FE3"/>
    <w:rsid w:val="0002647E"/>
    <w:rsid w:val="00032670"/>
    <w:rsid w:val="0003368C"/>
    <w:rsid w:val="000426D5"/>
    <w:rsid w:val="00046E96"/>
    <w:rsid w:val="00084363"/>
    <w:rsid w:val="00086E4F"/>
    <w:rsid w:val="0009268A"/>
    <w:rsid w:val="000B4F5F"/>
    <w:rsid w:val="000C2E9F"/>
    <w:rsid w:val="000E52AA"/>
    <w:rsid w:val="000E530D"/>
    <w:rsid w:val="00100C01"/>
    <w:rsid w:val="001164AE"/>
    <w:rsid w:val="001166AE"/>
    <w:rsid w:val="0016115E"/>
    <w:rsid w:val="0017069F"/>
    <w:rsid w:val="0018640B"/>
    <w:rsid w:val="0018691B"/>
    <w:rsid w:val="00195B48"/>
    <w:rsid w:val="001C2659"/>
    <w:rsid w:val="001C7394"/>
    <w:rsid w:val="001D3486"/>
    <w:rsid w:val="001E0B37"/>
    <w:rsid w:val="001E3F52"/>
    <w:rsid w:val="00202C16"/>
    <w:rsid w:val="0020367A"/>
    <w:rsid w:val="002204AA"/>
    <w:rsid w:val="002246A0"/>
    <w:rsid w:val="00226601"/>
    <w:rsid w:val="002367C0"/>
    <w:rsid w:val="00241CD5"/>
    <w:rsid w:val="002441B5"/>
    <w:rsid w:val="002546DE"/>
    <w:rsid w:val="00262EE0"/>
    <w:rsid w:val="002656CA"/>
    <w:rsid w:val="002A5C00"/>
    <w:rsid w:val="002B7B4D"/>
    <w:rsid w:val="002C7C3C"/>
    <w:rsid w:val="002D0EF1"/>
    <w:rsid w:val="002D5E1D"/>
    <w:rsid w:val="002E10D4"/>
    <w:rsid w:val="00303D0A"/>
    <w:rsid w:val="00311131"/>
    <w:rsid w:val="00327811"/>
    <w:rsid w:val="00327E92"/>
    <w:rsid w:val="00354601"/>
    <w:rsid w:val="003741FB"/>
    <w:rsid w:val="00386406"/>
    <w:rsid w:val="003A084E"/>
    <w:rsid w:val="003B14B6"/>
    <w:rsid w:val="003C3AB7"/>
    <w:rsid w:val="003C6072"/>
    <w:rsid w:val="003D6CFC"/>
    <w:rsid w:val="003E70CE"/>
    <w:rsid w:val="00417C3F"/>
    <w:rsid w:val="00422006"/>
    <w:rsid w:val="00436BE0"/>
    <w:rsid w:val="004748BF"/>
    <w:rsid w:val="004845C2"/>
    <w:rsid w:val="004A43E5"/>
    <w:rsid w:val="004A5F08"/>
    <w:rsid w:val="004B5D5D"/>
    <w:rsid w:val="005000F0"/>
    <w:rsid w:val="00505A73"/>
    <w:rsid w:val="0051720E"/>
    <w:rsid w:val="005302AC"/>
    <w:rsid w:val="00534C67"/>
    <w:rsid w:val="00542A3E"/>
    <w:rsid w:val="00545509"/>
    <w:rsid w:val="0055053F"/>
    <w:rsid w:val="00554F6C"/>
    <w:rsid w:val="00555873"/>
    <w:rsid w:val="00557D3A"/>
    <w:rsid w:val="00564A4C"/>
    <w:rsid w:val="005D6330"/>
    <w:rsid w:val="005E17B8"/>
    <w:rsid w:val="00600E02"/>
    <w:rsid w:val="00610905"/>
    <w:rsid w:val="00613AC8"/>
    <w:rsid w:val="006158AB"/>
    <w:rsid w:val="006231F4"/>
    <w:rsid w:val="0063028F"/>
    <w:rsid w:val="00643DF4"/>
    <w:rsid w:val="0064743B"/>
    <w:rsid w:val="00650A34"/>
    <w:rsid w:val="00650A3C"/>
    <w:rsid w:val="00653355"/>
    <w:rsid w:val="0066325A"/>
    <w:rsid w:val="00672A9C"/>
    <w:rsid w:val="00686986"/>
    <w:rsid w:val="006973D8"/>
    <w:rsid w:val="006B0EF7"/>
    <w:rsid w:val="006B1169"/>
    <w:rsid w:val="006D2D9A"/>
    <w:rsid w:val="006F0BBA"/>
    <w:rsid w:val="006F2CAA"/>
    <w:rsid w:val="006F480D"/>
    <w:rsid w:val="00706659"/>
    <w:rsid w:val="0071450A"/>
    <w:rsid w:val="0073587B"/>
    <w:rsid w:val="00745F16"/>
    <w:rsid w:val="0076460E"/>
    <w:rsid w:val="00775764"/>
    <w:rsid w:val="00795514"/>
    <w:rsid w:val="007C1BEC"/>
    <w:rsid w:val="007D1EE0"/>
    <w:rsid w:val="007D482F"/>
    <w:rsid w:val="007E1912"/>
    <w:rsid w:val="007F4C80"/>
    <w:rsid w:val="008105E7"/>
    <w:rsid w:val="008238EF"/>
    <w:rsid w:val="00823F38"/>
    <w:rsid w:val="00847F0C"/>
    <w:rsid w:val="00853ADF"/>
    <w:rsid w:val="00854CDC"/>
    <w:rsid w:val="008702FF"/>
    <w:rsid w:val="00874921"/>
    <w:rsid w:val="00881424"/>
    <w:rsid w:val="00886130"/>
    <w:rsid w:val="0088761F"/>
    <w:rsid w:val="00895A9D"/>
    <w:rsid w:val="008A185F"/>
    <w:rsid w:val="008B4440"/>
    <w:rsid w:val="008B4541"/>
    <w:rsid w:val="008B608B"/>
    <w:rsid w:val="008E42BD"/>
    <w:rsid w:val="008E73D0"/>
    <w:rsid w:val="00905579"/>
    <w:rsid w:val="00906BC5"/>
    <w:rsid w:val="00913C15"/>
    <w:rsid w:val="0092263B"/>
    <w:rsid w:val="00925639"/>
    <w:rsid w:val="00933358"/>
    <w:rsid w:val="0094416D"/>
    <w:rsid w:val="00971C00"/>
    <w:rsid w:val="00974915"/>
    <w:rsid w:val="009830C5"/>
    <w:rsid w:val="00985555"/>
    <w:rsid w:val="00987505"/>
    <w:rsid w:val="0099039F"/>
    <w:rsid w:val="009A6125"/>
    <w:rsid w:val="009B0905"/>
    <w:rsid w:val="009C4738"/>
    <w:rsid w:val="009C7FEC"/>
    <w:rsid w:val="009D1932"/>
    <w:rsid w:val="009E2C3E"/>
    <w:rsid w:val="009E412C"/>
    <w:rsid w:val="00A00137"/>
    <w:rsid w:val="00A20893"/>
    <w:rsid w:val="00A20B23"/>
    <w:rsid w:val="00A22170"/>
    <w:rsid w:val="00A347E6"/>
    <w:rsid w:val="00A37531"/>
    <w:rsid w:val="00A51EB6"/>
    <w:rsid w:val="00A564DB"/>
    <w:rsid w:val="00A57891"/>
    <w:rsid w:val="00A607B1"/>
    <w:rsid w:val="00A65797"/>
    <w:rsid w:val="00A7491E"/>
    <w:rsid w:val="00A81F61"/>
    <w:rsid w:val="00A865FB"/>
    <w:rsid w:val="00AA10D9"/>
    <w:rsid w:val="00AA5A88"/>
    <w:rsid w:val="00AB1E1B"/>
    <w:rsid w:val="00AC48DD"/>
    <w:rsid w:val="00AC586C"/>
    <w:rsid w:val="00AC62F8"/>
    <w:rsid w:val="00AD444F"/>
    <w:rsid w:val="00AD492B"/>
    <w:rsid w:val="00AF579C"/>
    <w:rsid w:val="00B0109D"/>
    <w:rsid w:val="00B0626F"/>
    <w:rsid w:val="00B1131B"/>
    <w:rsid w:val="00B1391A"/>
    <w:rsid w:val="00B446C6"/>
    <w:rsid w:val="00B72146"/>
    <w:rsid w:val="00B86368"/>
    <w:rsid w:val="00B90B69"/>
    <w:rsid w:val="00BA7EC4"/>
    <w:rsid w:val="00BB5DAE"/>
    <w:rsid w:val="00BF4734"/>
    <w:rsid w:val="00C039D2"/>
    <w:rsid w:val="00C03A14"/>
    <w:rsid w:val="00C060C0"/>
    <w:rsid w:val="00C337CD"/>
    <w:rsid w:val="00C342DF"/>
    <w:rsid w:val="00C367F5"/>
    <w:rsid w:val="00C41D96"/>
    <w:rsid w:val="00C42858"/>
    <w:rsid w:val="00C435EF"/>
    <w:rsid w:val="00C469B3"/>
    <w:rsid w:val="00C51767"/>
    <w:rsid w:val="00C51C68"/>
    <w:rsid w:val="00C5206F"/>
    <w:rsid w:val="00C559DA"/>
    <w:rsid w:val="00C61257"/>
    <w:rsid w:val="00C640E3"/>
    <w:rsid w:val="00C65E94"/>
    <w:rsid w:val="00CB1D32"/>
    <w:rsid w:val="00CB5341"/>
    <w:rsid w:val="00CC504A"/>
    <w:rsid w:val="00CF2469"/>
    <w:rsid w:val="00CF781C"/>
    <w:rsid w:val="00D024C4"/>
    <w:rsid w:val="00D20988"/>
    <w:rsid w:val="00D21E59"/>
    <w:rsid w:val="00D257D3"/>
    <w:rsid w:val="00D30918"/>
    <w:rsid w:val="00D4294A"/>
    <w:rsid w:val="00D51FF8"/>
    <w:rsid w:val="00D60300"/>
    <w:rsid w:val="00D63434"/>
    <w:rsid w:val="00D737BF"/>
    <w:rsid w:val="00D803E5"/>
    <w:rsid w:val="00DA0DA3"/>
    <w:rsid w:val="00DD3E20"/>
    <w:rsid w:val="00DE54A8"/>
    <w:rsid w:val="00DF1D6F"/>
    <w:rsid w:val="00DF46AC"/>
    <w:rsid w:val="00E14CF8"/>
    <w:rsid w:val="00E225EA"/>
    <w:rsid w:val="00E43F60"/>
    <w:rsid w:val="00E451C8"/>
    <w:rsid w:val="00E67132"/>
    <w:rsid w:val="00E77ED8"/>
    <w:rsid w:val="00E96916"/>
    <w:rsid w:val="00EB6889"/>
    <w:rsid w:val="00EC754D"/>
    <w:rsid w:val="00ED37B4"/>
    <w:rsid w:val="00ED3A30"/>
    <w:rsid w:val="00EE2A9A"/>
    <w:rsid w:val="00EE6A37"/>
    <w:rsid w:val="00EF0998"/>
    <w:rsid w:val="00EF465F"/>
    <w:rsid w:val="00F0211C"/>
    <w:rsid w:val="00F11C88"/>
    <w:rsid w:val="00F25C1F"/>
    <w:rsid w:val="00F35EBC"/>
    <w:rsid w:val="00F424BD"/>
    <w:rsid w:val="00F51EAF"/>
    <w:rsid w:val="00F64D1A"/>
    <w:rsid w:val="00F83243"/>
    <w:rsid w:val="00F844EE"/>
    <w:rsid w:val="00F976C1"/>
    <w:rsid w:val="00FA3EEE"/>
    <w:rsid w:val="00FB6B2C"/>
    <w:rsid w:val="00FC1C35"/>
    <w:rsid w:val="00FC4399"/>
    <w:rsid w:val="00FC6BCD"/>
    <w:rsid w:val="00FC74FA"/>
    <w:rsid w:val="00FD10FF"/>
    <w:rsid w:val="00FD3769"/>
    <w:rsid w:val="00FD770E"/>
    <w:rsid w:val="00FF5F58"/>
    <w:rsid w:val="45484CAD"/>
    <w:rsid w:val="7FE21D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0"/>
      <w:lang w:val="en-US" w:eastAsia="zh-CN" w:bidi="ar-SA"/>
    </w:rPr>
  </w:style>
  <w:style w:type="paragraph" w:styleId="2">
    <w:name w:val="heading 1"/>
    <w:basedOn w:val="1"/>
    <w:next w:val="1"/>
    <w:link w:val="17"/>
    <w:autoRedefine/>
    <w:qFormat/>
    <w:uiPriority w:val="9"/>
    <w:pPr>
      <w:keepNext/>
      <w:keepLines/>
      <w:spacing w:before="240" w:after="240"/>
      <w:jc w:val="left"/>
      <w:outlineLvl w:val="0"/>
    </w:pPr>
    <w:rPr>
      <w:rFonts w:ascii="微软雅黑" w:hAnsi="微软雅黑" w:eastAsia="微软雅黑"/>
      <w:b/>
      <w:bCs/>
      <w:kern w:val="0"/>
      <w:sz w:val="28"/>
      <w:szCs w:val="44"/>
    </w:rPr>
  </w:style>
  <w:style w:type="paragraph" w:styleId="3">
    <w:name w:val="heading 2"/>
    <w:basedOn w:val="1"/>
    <w:next w:val="1"/>
    <w:link w:val="21"/>
    <w:unhideWhenUsed/>
    <w:qFormat/>
    <w:uiPriority w:val="9"/>
    <w:pPr>
      <w:keepNext/>
      <w:keepLines/>
      <w:outlineLvl w:val="1"/>
    </w:pPr>
    <w:rPr>
      <w:rFonts w:eastAsia="微软雅黑" w:asciiTheme="majorHAnsi" w:hAnsiTheme="majorHAnsi" w:cstheme="majorBidi"/>
      <w:b/>
      <w:bCs/>
      <w:szCs w:val="32"/>
    </w:rPr>
  </w:style>
  <w:style w:type="paragraph" w:styleId="4">
    <w:name w:val="heading 3"/>
    <w:basedOn w:val="1"/>
    <w:next w:val="1"/>
    <w:link w:val="22"/>
    <w:unhideWhenUsed/>
    <w:qFormat/>
    <w:uiPriority w:val="9"/>
    <w:pPr>
      <w:keepNext/>
      <w:keepLines/>
      <w:outlineLvl w:val="2"/>
    </w:pPr>
    <w:rPr>
      <w:rFonts w:eastAsiaTheme="minorEastAsia"/>
      <w:b/>
      <w:bCs/>
      <w:szCs w:val="32"/>
    </w:rPr>
  </w:style>
  <w:style w:type="paragraph" w:styleId="5">
    <w:name w:val="heading 4"/>
    <w:basedOn w:val="1"/>
    <w:next w:val="1"/>
    <w:link w:val="2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autoRedefine/>
    <w:semiHidden/>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7">
    <w:name w:val="Date"/>
    <w:basedOn w:val="1"/>
    <w:next w:val="1"/>
    <w:link w:val="25"/>
    <w:semiHidden/>
    <w:unhideWhenUsed/>
    <w:qFormat/>
    <w:uiPriority w:val="99"/>
    <w:pPr>
      <w:ind w:left="100" w:leftChars="2500"/>
    </w:pPr>
  </w:style>
  <w:style w:type="paragraph" w:styleId="8">
    <w:name w:val="Balloon Text"/>
    <w:basedOn w:val="1"/>
    <w:link w:val="24"/>
    <w:semiHidden/>
    <w:unhideWhenUsed/>
    <w:uiPriority w:val="99"/>
    <w:pPr>
      <w:spacing w:line="240" w:lineRule="auto"/>
    </w:pPr>
    <w:rPr>
      <w:sz w:val="18"/>
      <w:szCs w:val="18"/>
    </w:rPr>
  </w:style>
  <w:style w:type="paragraph" w:styleId="9">
    <w:name w:val="footer"/>
    <w:basedOn w:val="1"/>
    <w:link w:val="20"/>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19"/>
    <w:unhideWhenUsed/>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1">
    <w:name w:val="toc 1"/>
    <w:basedOn w:val="1"/>
    <w:next w:val="1"/>
    <w:autoRedefine/>
    <w:unhideWhenUsed/>
    <w:qFormat/>
    <w:uiPriority w:val="39"/>
    <w:pPr>
      <w:widowControl/>
      <w:tabs>
        <w:tab w:val="left" w:pos="325"/>
        <w:tab w:val="right" w:leader="dot" w:pos="8296"/>
      </w:tabs>
      <w:spacing w:after="100" w:line="276" w:lineRule="auto"/>
      <w:jc w:val="left"/>
    </w:pPr>
    <w:rPr>
      <w:rFonts w:asciiTheme="minorHAnsi" w:hAnsiTheme="minorHAnsi" w:eastAsiaTheme="minorEastAsia" w:cstheme="minorBidi"/>
      <w:kern w:val="0"/>
      <w:sz w:val="22"/>
      <w:szCs w:val="22"/>
    </w:rPr>
  </w:style>
  <w:style w:type="paragraph" w:styleId="12">
    <w:name w:val="toc 2"/>
    <w:basedOn w:val="1"/>
    <w:next w:val="1"/>
    <w:autoRedefine/>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3">
    <w:name w:val="Normal (Web)"/>
    <w:basedOn w:val="1"/>
    <w:semiHidden/>
    <w:unhideWhenUsed/>
    <w:qFormat/>
    <w:uiPriority w:val="99"/>
    <w:rPr>
      <w:szCs w:val="24"/>
    </w:rPr>
  </w:style>
  <w:style w:type="character" w:styleId="16">
    <w:name w:val="Hyperlink"/>
    <w:basedOn w:val="15"/>
    <w:unhideWhenUsed/>
    <w:qFormat/>
    <w:uiPriority w:val="99"/>
    <w:rPr>
      <w:color w:val="0000FF" w:themeColor="hyperlink"/>
      <w:u w:val="single"/>
      <w14:textFill>
        <w14:solidFill>
          <w14:schemeClr w14:val="hlink"/>
        </w14:solidFill>
      </w14:textFill>
    </w:rPr>
  </w:style>
  <w:style w:type="character" w:customStyle="1" w:styleId="17">
    <w:name w:val="标题 1 字符"/>
    <w:basedOn w:val="15"/>
    <w:link w:val="2"/>
    <w:uiPriority w:val="9"/>
    <w:rPr>
      <w:rFonts w:ascii="微软雅黑" w:hAnsi="微软雅黑" w:eastAsia="微软雅黑" w:cs="Times New Roman"/>
      <w:b/>
      <w:bCs/>
      <w:kern w:val="0"/>
      <w:sz w:val="28"/>
      <w:szCs w:val="44"/>
    </w:rPr>
  </w:style>
  <w:style w:type="paragraph" w:styleId="18">
    <w:name w:val="List Paragraph"/>
    <w:basedOn w:val="1"/>
    <w:qFormat/>
    <w:uiPriority w:val="34"/>
    <w:pPr>
      <w:ind w:firstLine="420" w:firstLineChars="200"/>
    </w:pPr>
  </w:style>
  <w:style w:type="character" w:customStyle="1" w:styleId="19">
    <w:name w:val="页眉 字符"/>
    <w:basedOn w:val="15"/>
    <w:link w:val="10"/>
    <w:qFormat/>
    <w:uiPriority w:val="0"/>
    <w:rPr>
      <w:rFonts w:ascii="Calibri" w:hAnsi="Calibri" w:eastAsia="宋体" w:cs="Times New Roman"/>
      <w:sz w:val="18"/>
      <w:szCs w:val="18"/>
    </w:rPr>
  </w:style>
  <w:style w:type="character" w:customStyle="1" w:styleId="20">
    <w:name w:val="页脚 字符"/>
    <w:basedOn w:val="15"/>
    <w:link w:val="9"/>
    <w:uiPriority w:val="99"/>
    <w:rPr>
      <w:rFonts w:ascii="Calibri" w:hAnsi="Calibri" w:eastAsia="宋体" w:cs="Times New Roman"/>
      <w:sz w:val="18"/>
      <w:szCs w:val="18"/>
    </w:rPr>
  </w:style>
  <w:style w:type="character" w:customStyle="1" w:styleId="21">
    <w:name w:val="标题 2 字符"/>
    <w:basedOn w:val="15"/>
    <w:link w:val="3"/>
    <w:qFormat/>
    <w:uiPriority w:val="9"/>
    <w:rPr>
      <w:rFonts w:eastAsia="微软雅黑" w:asciiTheme="majorHAnsi" w:hAnsiTheme="majorHAnsi" w:cstheme="majorBidi"/>
      <w:b/>
      <w:bCs/>
      <w:sz w:val="24"/>
      <w:szCs w:val="32"/>
    </w:rPr>
  </w:style>
  <w:style w:type="character" w:customStyle="1" w:styleId="22">
    <w:name w:val="标题 3 字符"/>
    <w:basedOn w:val="15"/>
    <w:link w:val="4"/>
    <w:qFormat/>
    <w:uiPriority w:val="9"/>
    <w:rPr>
      <w:rFonts w:ascii="Times New Roman" w:hAnsi="Times New Roman" w:cs="Times New Roman"/>
      <w:b/>
      <w:bCs/>
      <w:sz w:val="24"/>
      <w:szCs w:val="32"/>
    </w:rPr>
  </w:style>
  <w:style w:type="paragraph" w:customStyle="1" w:styleId="23">
    <w:name w:val="TOC Heading"/>
    <w:basedOn w:val="2"/>
    <w:next w:val="1"/>
    <w:semiHidden/>
    <w:unhideWhenUsed/>
    <w:qFormat/>
    <w:uiPriority w:val="39"/>
    <w:pPr>
      <w:widowControl/>
      <w:spacing w:before="480" w:after="0" w:line="276" w:lineRule="auto"/>
      <w:outlineLvl w:val="9"/>
    </w:pPr>
    <w:rPr>
      <w:rFonts w:asciiTheme="majorHAnsi" w:hAnsiTheme="majorHAnsi" w:eastAsiaTheme="majorEastAsia" w:cstheme="majorBidi"/>
      <w:color w:val="376092" w:themeColor="accent1" w:themeShade="BF"/>
      <w:szCs w:val="28"/>
    </w:rPr>
  </w:style>
  <w:style w:type="character" w:customStyle="1" w:styleId="24">
    <w:name w:val="批注框文本 字符"/>
    <w:basedOn w:val="15"/>
    <w:link w:val="8"/>
    <w:semiHidden/>
    <w:qFormat/>
    <w:uiPriority w:val="99"/>
    <w:rPr>
      <w:rFonts w:ascii="Times New Roman" w:hAnsi="Times New Roman" w:eastAsia="宋体" w:cs="Times New Roman"/>
      <w:sz w:val="18"/>
      <w:szCs w:val="18"/>
    </w:rPr>
  </w:style>
  <w:style w:type="character" w:customStyle="1" w:styleId="25">
    <w:name w:val="日期 字符"/>
    <w:basedOn w:val="15"/>
    <w:link w:val="7"/>
    <w:semiHidden/>
    <w:qFormat/>
    <w:uiPriority w:val="99"/>
    <w:rPr>
      <w:rFonts w:ascii="Times New Roman" w:hAnsi="Times New Roman" w:eastAsia="宋体" w:cs="Times New Roman"/>
      <w:sz w:val="24"/>
      <w:szCs w:val="20"/>
    </w:rPr>
  </w:style>
  <w:style w:type="paragraph" w:customStyle="1" w:styleId="2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27">
    <w:name w:val="标题 4 字符"/>
    <w:basedOn w:val="15"/>
    <w:link w:val="5"/>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5474C-C580-41FA-A277-B357E99E65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220</Words>
  <Characters>227</Characters>
  <Lines>830</Lines>
  <Paragraphs>922</Paragraphs>
  <TotalTime>164</TotalTime>
  <ScaleCrop>false</ScaleCrop>
  <LinksUpToDate>false</LinksUpToDate>
  <CharactersWithSpaces>247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2025-03-19T13:37:00Z</dcterms:created>
  <dc:creator>Administrator</dc:creator>
  <cp:lastModifiedBy>军</cp:lastModifiedBy>
  <dcterms:modified xsi:type="dcterms:W3CDTF">2025-08-14T06:05:07Z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eyJoZGlkIjoiYjVkZDlmNGRkZDBlNTdmYzk3N2RiMmM5MzViMjQxMTgiLCJ1c2VySWQiOiIzNTQzOTc5NDYifQ==</vt:lpwstr>
  </property>
  <property fmtid="{D5CDD505-2E9C-101B-9397-08002B2CF9AE}" pid="3" name="KSOProductBuildVer">
    <vt:lpwstr>2052-12.1.0.21915</vt:lpwstr>
  </property>
  <property fmtid="{D5CDD505-2E9C-101B-9397-08002B2CF9AE}" pid="4" name="ICV">
    <vt:lpwstr>75B9C596D19545CFAE40A290DED9B450_13</vt:lpwstr>
  </property>
</Properties>
</file>