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8D729" w14:textId="77777777" w:rsidR="005932EC" w:rsidRDefault="005932EC"/>
    <w:p w14:paraId="05B3487E" w14:textId="77777777" w:rsidR="005932EC" w:rsidRDefault="005932EC">
      <w:pPr>
        <w:widowControl/>
        <w:rPr>
          <w:sz w:val="28"/>
          <w:szCs w:val="28"/>
        </w:rPr>
      </w:pPr>
    </w:p>
    <w:p w14:paraId="49F0C258" w14:textId="77777777" w:rsidR="005932EC" w:rsidRDefault="005932EC">
      <w:pPr>
        <w:widowControl/>
        <w:rPr>
          <w:sz w:val="28"/>
          <w:szCs w:val="28"/>
        </w:rPr>
      </w:pPr>
    </w:p>
    <w:p w14:paraId="345C8921" w14:textId="77777777" w:rsidR="005932EC" w:rsidRDefault="00000000">
      <w:pPr>
        <w:widowControl/>
        <w:jc w:val="center"/>
        <w:rPr>
          <w:rFonts w:ascii="黑体" w:eastAsia="黑体" w:hAnsi="黑体"/>
          <w:b/>
          <w:sz w:val="44"/>
          <w:szCs w:val="44"/>
        </w:rPr>
      </w:pPr>
      <w:r>
        <w:rPr>
          <w:rFonts w:ascii="黑体" w:eastAsia="黑体" w:hAnsi="黑体" w:hint="eastAsia"/>
          <w:b/>
          <w:sz w:val="44"/>
          <w:szCs w:val="44"/>
        </w:rPr>
        <w:t xml:space="preserve">团 体 </w:t>
      </w:r>
      <w:r>
        <w:rPr>
          <w:rFonts w:ascii="黑体" w:eastAsia="黑体" w:hAnsi="黑体"/>
          <w:b/>
          <w:sz w:val="44"/>
          <w:szCs w:val="44"/>
        </w:rPr>
        <w:t>标</w:t>
      </w:r>
      <w:r>
        <w:rPr>
          <w:rFonts w:ascii="黑体" w:eastAsia="黑体" w:hAnsi="黑体" w:hint="eastAsia"/>
          <w:b/>
          <w:sz w:val="44"/>
          <w:szCs w:val="44"/>
        </w:rPr>
        <w:t xml:space="preserve"> </w:t>
      </w:r>
      <w:r>
        <w:rPr>
          <w:rFonts w:ascii="黑体" w:eastAsia="黑体" w:hAnsi="黑体"/>
          <w:b/>
          <w:sz w:val="44"/>
          <w:szCs w:val="44"/>
        </w:rPr>
        <w:t>准</w:t>
      </w:r>
    </w:p>
    <w:p w14:paraId="5D0584B0" w14:textId="77777777" w:rsidR="005932EC" w:rsidRDefault="005932EC">
      <w:pPr>
        <w:widowControl/>
        <w:jc w:val="center"/>
        <w:rPr>
          <w:rFonts w:ascii="黑体" w:eastAsia="黑体" w:hAnsi="黑体"/>
          <w:b/>
          <w:sz w:val="44"/>
          <w:szCs w:val="44"/>
        </w:rPr>
      </w:pPr>
    </w:p>
    <w:p w14:paraId="3FA9B92C" w14:textId="77777777" w:rsidR="005932EC" w:rsidRDefault="00000000">
      <w:pPr>
        <w:spacing w:line="360" w:lineRule="auto"/>
        <w:jc w:val="center"/>
        <w:rPr>
          <w:rFonts w:ascii="黑体" w:eastAsia="黑体" w:hAnsi="黑体"/>
          <w:b/>
          <w:sz w:val="44"/>
          <w:szCs w:val="44"/>
        </w:rPr>
      </w:pPr>
      <w:r>
        <w:rPr>
          <w:rFonts w:ascii="黑体" w:eastAsia="黑体" w:hAnsi="黑体" w:hint="eastAsia"/>
          <w:b/>
          <w:sz w:val="44"/>
          <w:szCs w:val="44"/>
        </w:rPr>
        <w:t>集装箱码头智能配载</w:t>
      </w:r>
    </w:p>
    <w:p w14:paraId="37C03BA4" w14:textId="77777777" w:rsidR="005932EC" w:rsidRDefault="00000000">
      <w:pPr>
        <w:spacing w:line="360" w:lineRule="auto"/>
        <w:jc w:val="center"/>
        <w:rPr>
          <w:rFonts w:ascii="黑体" w:eastAsia="黑体" w:hAnsi="黑体"/>
          <w:b/>
          <w:sz w:val="44"/>
          <w:szCs w:val="44"/>
        </w:rPr>
      </w:pPr>
      <w:r>
        <w:rPr>
          <w:rFonts w:ascii="黑体" w:eastAsia="黑体" w:hAnsi="黑体" w:hint="eastAsia"/>
          <w:b/>
          <w:sz w:val="44"/>
          <w:szCs w:val="44"/>
        </w:rPr>
        <w:t>数据交互接口技术要求</w:t>
      </w:r>
    </w:p>
    <w:p w14:paraId="26DC75B3" w14:textId="77777777" w:rsidR="00F24D4A" w:rsidRDefault="00F24D4A">
      <w:pPr>
        <w:spacing w:line="360" w:lineRule="auto"/>
        <w:jc w:val="center"/>
        <w:rPr>
          <w:rFonts w:ascii="黑体" w:eastAsia="黑体" w:hAnsi="黑体" w:hint="eastAsia"/>
          <w:b/>
          <w:sz w:val="44"/>
          <w:szCs w:val="44"/>
        </w:rPr>
      </w:pPr>
    </w:p>
    <w:p w14:paraId="64BCC50A" w14:textId="77777777" w:rsidR="005932EC" w:rsidRDefault="00000000">
      <w:pPr>
        <w:spacing w:line="360" w:lineRule="auto"/>
        <w:jc w:val="center"/>
        <w:rPr>
          <w:rFonts w:ascii="黑体" w:eastAsia="黑体" w:hAnsi="黑体"/>
          <w:b/>
          <w:color w:val="000000"/>
          <w:sz w:val="44"/>
          <w:szCs w:val="44"/>
        </w:rPr>
      </w:pPr>
      <w:r>
        <w:rPr>
          <w:rFonts w:ascii="黑体" w:eastAsia="黑体" w:hAnsi="黑体"/>
          <w:b/>
          <w:color w:val="000000"/>
          <w:sz w:val="44"/>
          <w:szCs w:val="44"/>
        </w:rPr>
        <w:t xml:space="preserve">Technical requirements for intelligent </w:t>
      </w:r>
      <w:r>
        <w:rPr>
          <w:rFonts w:ascii="黑体" w:eastAsia="黑体" w:hAnsi="黑体" w:hint="eastAsia"/>
          <w:b/>
          <w:color w:val="000000"/>
          <w:sz w:val="44"/>
          <w:szCs w:val="44"/>
        </w:rPr>
        <w:t>stowage</w:t>
      </w:r>
      <w:r>
        <w:rPr>
          <w:rFonts w:ascii="黑体" w:eastAsia="黑体" w:hAnsi="黑体"/>
          <w:b/>
          <w:color w:val="000000"/>
          <w:sz w:val="44"/>
          <w:szCs w:val="44"/>
        </w:rPr>
        <w:t xml:space="preserve"> data interaction interface at container terminals</w:t>
      </w:r>
    </w:p>
    <w:p w14:paraId="38DFEEE5" w14:textId="77777777" w:rsidR="005932EC" w:rsidRDefault="00000000">
      <w:pPr>
        <w:spacing w:line="360" w:lineRule="auto"/>
        <w:jc w:val="center"/>
        <w:rPr>
          <w:rFonts w:ascii="黑体" w:eastAsia="黑体" w:hAnsi="黑体"/>
          <w:b/>
          <w:sz w:val="44"/>
          <w:szCs w:val="44"/>
        </w:rPr>
      </w:pPr>
      <w:r>
        <w:rPr>
          <w:rFonts w:ascii="黑体" w:eastAsia="黑体" w:hAnsi="黑体" w:hint="eastAsia"/>
          <w:b/>
          <w:sz w:val="44"/>
          <w:szCs w:val="44"/>
        </w:rPr>
        <w:t>（征求意见稿）</w:t>
      </w:r>
    </w:p>
    <w:p w14:paraId="120CD3EF" w14:textId="77777777" w:rsidR="005932EC" w:rsidRDefault="005932EC">
      <w:pPr>
        <w:widowControl/>
        <w:rPr>
          <w:rFonts w:ascii="黑体" w:eastAsia="黑体" w:hAnsi="黑体"/>
          <w:b/>
          <w:sz w:val="44"/>
          <w:szCs w:val="44"/>
        </w:rPr>
      </w:pPr>
    </w:p>
    <w:p w14:paraId="4BA38E32" w14:textId="77777777" w:rsidR="005932EC" w:rsidRDefault="00000000">
      <w:pPr>
        <w:widowControl/>
        <w:jc w:val="center"/>
        <w:rPr>
          <w:rFonts w:ascii="黑体" w:eastAsia="黑体" w:hAnsi="黑体"/>
          <w:b/>
          <w:sz w:val="44"/>
          <w:szCs w:val="44"/>
        </w:rPr>
      </w:pPr>
      <w:r>
        <w:rPr>
          <w:rFonts w:ascii="黑体" w:eastAsia="黑体" w:hAnsi="黑体"/>
          <w:b/>
          <w:sz w:val="44"/>
          <w:szCs w:val="44"/>
        </w:rPr>
        <w:t>编</w:t>
      </w:r>
      <w:r>
        <w:rPr>
          <w:rFonts w:ascii="黑体" w:eastAsia="黑体" w:hAnsi="黑体" w:hint="eastAsia"/>
          <w:b/>
          <w:sz w:val="44"/>
          <w:szCs w:val="44"/>
        </w:rPr>
        <w:t xml:space="preserve"> </w:t>
      </w:r>
      <w:r>
        <w:rPr>
          <w:rFonts w:ascii="黑体" w:eastAsia="黑体" w:hAnsi="黑体"/>
          <w:b/>
          <w:sz w:val="44"/>
          <w:szCs w:val="44"/>
        </w:rPr>
        <w:t>制</w:t>
      </w:r>
      <w:r>
        <w:rPr>
          <w:rFonts w:ascii="黑体" w:eastAsia="黑体" w:hAnsi="黑体" w:hint="eastAsia"/>
          <w:b/>
          <w:sz w:val="44"/>
          <w:szCs w:val="44"/>
        </w:rPr>
        <w:t xml:space="preserve"> </w:t>
      </w:r>
      <w:r>
        <w:rPr>
          <w:rFonts w:ascii="黑体" w:eastAsia="黑体" w:hAnsi="黑体"/>
          <w:b/>
          <w:sz w:val="44"/>
          <w:szCs w:val="44"/>
        </w:rPr>
        <w:t>说</w:t>
      </w:r>
      <w:r>
        <w:rPr>
          <w:rFonts w:ascii="黑体" w:eastAsia="黑体" w:hAnsi="黑体" w:hint="eastAsia"/>
          <w:b/>
          <w:sz w:val="44"/>
          <w:szCs w:val="44"/>
        </w:rPr>
        <w:t xml:space="preserve"> </w:t>
      </w:r>
      <w:r>
        <w:rPr>
          <w:rFonts w:ascii="黑体" w:eastAsia="黑体" w:hAnsi="黑体"/>
          <w:b/>
          <w:sz w:val="44"/>
          <w:szCs w:val="44"/>
        </w:rPr>
        <w:t>明</w:t>
      </w:r>
    </w:p>
    <w:p w14:paraId="5C92E370" w14:textId="77777777" w:rsidR="005932EC" w:rsidRDefault="005932EC">
      <w:pPr>
        <w:widowControl/>
        <w:rPr>
          <w:szCs w:val="21"/>
        </w:rPr>
      </w:pPr>
    </w:p>
    <w:p w14:paraId="0A2C2046" w14:textId="77777777" w:rsidR="005932EC" w:rsidRDefault="005932EC">
      <w:pPr>
        <w:widowControl/>
        <w:rPr>
          <w:szCs w:val="21"/>
        </w:rPr>
      </w:pPr>
    </w:p>
    <w:p w14:paraId="59DED613" w14:textId="77777777" w:rsidR="005932EC" w:rsidRDefault="005932EC">
      <w:pPr>
        <w:widowControl/>
        <w:rPr>
          <w:szCs w:val="21"/>
        </w:rPr>
      </w:pPr>
    </w:p>
    <w:p w14:paraId="54C77D07" w14:textId="77777777" w:rsidR="005932EC" w:rsidRDefault="005932EC">
      <w:pPr>
        <w:widowControl/>
        <w:rPr>
          <w:szCs w:val="21"/>
        </w:rPr>
      </w:pPr>
    </w:p>
    <w:p w14:paraId="660BB006" w14:textId="77777777" w:rsidR="005932EC" w:rsidRDefault="005932EC">
      <w:pPr>
        <w:widowControl/>
        <w:rPr>
          <w:szCs w:val="21"/>
        </w:rPr>
      </w:pPr>
    </w:p>
    <w:p w14:paraId="0F58000D" w14:textId="77777777" w:rsidR="005932EC" w:rsidRDefault="005932EC">
      <w:pPr>
        <w:widowControl/>
        <w:rPr>
          <w:szCs w:val="21"/>
        </w:rPr>
      </w:pPr>
    </w:p>
    <w:p w14:paraId="0414657D" w14:textId="77777777" w:rsidR="005932EC" w:rsidRDefault="005932EC">
      <w:pPr>
        <w:widowControl/>
        <w:rPr>
          <w:szCs w:val="21"/>
        </w:rPr>
      </w:pPr>
    </w:p>
    <w:p w14:paraId="1D862E20" w14:textId="77777777" w:rsidR="005932EC" w:rsidRDefault="005932EC">
      <w:pPr>
        <w:widowControl/>
        <w:rPr>
          <w:szCs w:val="21"/>
        </w:rPr>
      </w:pPr>
    </w:p>
    <w:p w14:paraId="3FA44091" w14:textId="77777777" w:rsidR="005932EC" w:rsidRDefault="005932EC">
      <w:pPr>
        <w:widowControl/>
        <w:rPr>
          <w:szCs w:val="21"/>
        </w:rPr>
      </w:pPr>
    </w:p>
    <w:p w14:paraId="1B4DC455" w14:textId="77777777" w:rsidR="005932EC" w:rsidRDefault="00000000">
      <w:pPr>
        <w:widowControl/>
        <w:jc w:val="center"/>
        <w:rPr>
          <w:rFonts w:ascii="黑体" w:eastAsia="黑体" w:hAnsi="黑体"/>
          <w:b/>
          <w:sz w:val="32"/>
          <w:szCs w:val="32"/>
        </w:rPr>
      </w:pPr>
      <w:r>
        <w:rPr>
          <w:rFonts w:ascii="黑体" w:eastAsia="黑体" w:hAnsi="黑体"/>
          <w:b/>
          <w:sz w:val="32"/>
          <w:szCs w:val="32"/>
        </w:rPr>
        <w:t>标准起草组</w:t>
      </w:r>
    </w:p>
    <w:p w14:paraId="1171B990" w14:textId="77777777" w:rsidR="005932EC" w:rsidRDefault="00000000">
      <w:pPr>
        <w:widowControl/>
        <w:jc w:val="center"/>
        <w:rPr>
          <w:rFonts w:ascii="黑体" w:eastAsia="黑体" w:hAnsi="黑体" w:cs="Arial"/>
          <w:b/>
          <w:sz w:val="32"/>
          <w:szCs w:val="32"/>
        </w:rPr>
      </w:pPr>
      <w:r>
        <w:rPr>
          <w:rFonts w:ascii="黑体" w:eastAsia="黑体" w:hAnsi="黑体" w:cs="Arial"/>
          <w:b/>
          <w:sz w:val="32"/>
          <w:szCs w:val="32"/>
        </w:rPr>
        <w:t>2024年05</w:t>
      </w:r>
      <w:r>
        <w:rPr>
          <w:rFonts w:ascii="黑体" w:eastAsia="黑体" w:hAnsi="黑体" w:cs="Arial" w:hint="eastAsia"/>
          <w:b/>
          <w:sz w:val="32"/>
          <w:szCs w:val="32"/>
        </w:rPr>
        <w:t xml:space="preserve"> </w:t>
      </w:r>
      <w:r>
        <w:rPr>
          <w:rFonts w:ascii="黑体" w:eastAsia="黑体" w:hAnsi="黑体" w:cs="Arial"/>
          <w:b/>
          <w:sz w:val="32"/>
          <w:szCs w:val="32"/>
        </w:rPr>
        <w:t>月</w:t>
      </w:r>
      <w:r>
        <w:rPr>
          <w:rFonts w:ascii="黑体" w:eastAsia="黑体" w:hAnsi="黑体" w:cs="Arial" w:hint="eastAsia"/>
          <w:b/>
          <w:sz w:val="32"/>
          <w:szCs w:val="32"/>
        </w:rPr>
        <w:t xml:space="preserve"> </w:t>
      </w:r>
      <w:r>
        <w:rPr>
          <w:rFonts w:ascii="黑体" w:eastAsia="黑体" w:hAnsi="黑体" w:cs="Arial"/>
          <w:b/>
          <w:sz w:val="32"/>
          <w:szCs w:val="32"/>
        </w:rPr>
        <w:t>15日</w:t>
      </w:r>
    </w:p>
    <w:p w14:paraId="52E88421" w14:textId="77777777" w:rsidR="005932EC" w:rsidRDefault="005932EC"/>
    <w:p w14:paraId="3D21D662" w14:textId="77777777" w:rsidR="005932EC" w:rsidRDefault="005932EC"/>
    <w:p w14:paraId="4C72D737" w14:textId="77777777" w:rsidR="005932EC" w:rsidRDefault="005932EC">
      <w:pPr>
        <w:sectPr w:rsidR="005932EC">
          <w:footerReference w:type="default" r:id="rId8"/>
          <w:pgSz w:w="11906" w:h="16838"/>
          <w:pgMar w:top="1588" w:right="1814" w:bottom="1588" w:left="1814" w:header="851" w:footer="992" w:gutter="0"/>
          <w:cols w:space="425"/>
          <w:titlePg/>
          <w:docGrid w:type="lines" w:linePitch="312"/>
        </w:sectPr>
      </w:pPr>
    </w:p>
    <w:sdt>
      <w:sdtPr>
        <w:rPr>
          <w:rFonts w:ascii="Times New Roman" w:eastAsia="宋体" w:hAnsi="Times New Roman" w:cs="Times New Roman"/>
          <w:b w:val="0"/>
          <w:bCs w:val="0"/>
          <w:color w:val="auto"/>
          <w:kern w:val="2"/>
          <w:sz w:val="21"/>
          <w:szCs w:val="20"/>
          <w:lang w:val="zh-CN"/>
        </w:rPr>
        <w:id w:val="262339798"/>
        <w:docPartObj>
          <w:docPartGallery w:val="Table of Contents"/>
          <w:docPartUnique/>
        </w:docPartObj>
      </w:sdtPr>
      <w:sdtEndPr>
        <w:rPr>
          <w:rFonts w:ascii="宋体" w:hAnsi="宋体"/>
          <w:sz w:val="24"/>
          <w:szCs w:val="24"/>
          <w:lang w:val="en-US"/>
        </w:rPr>
      </w:sdtEndPr>
      <w:sdtContent>
        <w:p w14:paraId="2BEA2F6B" w14:textId="77777777" w:rsidR="005932EC" w:rsidRDefault="00000000">
          <w:pPr>
            <w:pStyle w:val="TOC10"/>
            <w:jc w:val="center"/>
          </w:pPr>
          <w:r>
            <w:rPr>
              <w:lang w:val="zh-CN"/>
            </w:rPr>
            <w:t>目</w:t>
          </w:r>
          <w:r>
            <w:rPr>
              <w:rFonts w:hint="eastAsia"/>
              <w:lang w:val="zh-CN"/>
            </w:rPr>
            <w:t xml:space="preserve"> </w:t>
          </w:r>
          <w:r>
            <w:rPr>
              <w:lang w:val="zh-CN"/>
            </w:rPr>
            <w:t xml:space="preserve">  </w:t>
          </w:r>
          <w:r>
            <w:rPr>
              <w:lang w:val="zh-CN"/>
            </w:rPr>
            <w:t>录</w:t>
          </w:r>
        </w:p>
        <w:p w14:paraId="5229E7C6" w14:textId="77777777" w:rsidR="005932EC" w:rsidRDefault="00000000">
          <w:pPr>
            <w:pStyle w:val="TOC1"/>
            <w:tabs>
              <w:tab w:val="right" w:leader="dot" w:pos="8268"/>
            </w:tabs>
            <w:spacing w:line="360" w:lineRule="auto"/>
            <w:rPr>
              <w:rFonts w:ascii="宋体" w:hAnsi="宋体" w:cstheme="minorBidi"/>
              <w:b w:val="0"/>
              <w:bCs w:val="0"/>
              <w:caps w:val="0"/>
              <w:sz w:val="24"/>
              <w:szCs w:val="24"/>
            </w:rPr>
          </w:pPr>
          <w:r>
            <w:rPr>
              <w:rFonts w:ascii="宋体" w:hAnsi="宋体"/>
              <w:b w:val="0"/>
              <w:bCs w:val="0"/>
              <w:sz w:val="24"/>
              <w:szCs w:val="24"/>
            </w:rPr>
            <w:fldChar w:fldCharType="begin"/>
          </w:r>
          <w:r>
            <w:rPr>
              <w:rFonts w:ascii="宋体" w:hAnsi="宋体"/>
              <w:b w:val="0"/>
              <w:bCs w:val="0"/>
              <w:sz w:val="24"/>
              <w:szCs w:val="24"/>
            </w:rPr>
            <w:instrText>TOC \o "1-3" \h \z \u</w:instrText>
          </w:r>
          <w:r>
            <w:rPr>
              <w:rFonts w:ascii="宋体" w:hAnsi="宋体"/>
              <w:b w:val="0"/>
              <w:bCs w:val="0"/>
              <w:sz w:val="24"/>
              <w:szCs w:val="24"/>
            </w:rPr>
            <w:fldChar w:fldCharType="separate"/>
          </w:r>
          <w:hyperlink w:anchor="_Toc46098150" w:history="1">
            <w:r>
              <w:rPr>
                <w:rStyle w:val="af3"/>
                <w:rFonts w:ascii="宋体" w:hAnsi="宋体"/>
                <w:b w:val="0"/>
                <w:bCs w:val="0"/>
                <w:sz w:val="24"/>
                <w:szCs w:val="24"/>
              </w:rPr>
              <w:t>一、工</w:t>
            </w:r>
            <w:r>
              <w:rPr>
                <w:rStyle w:val="af3"/>
                <w:rFonts w:ascii="宋体" w:hAnsi="宋体" w:cs="Arial"/>
                <w:b w:val="0"/>
                <w:bCs w:val="0"/>
                <w:sz w:val="24"/>
                <w:szCs w:val="24"/>
              </w:rPr>
              <w:t>作简况</w:t>
            </w:r>
            <w:r>
              <w:rPr>
                <w:rFonts w:ascii="宋体" w:hAnsi="宋体"/>
                <w:b w:val="0"/>
                <w:bCs w:val="0"/>
                <w:sz w:val="24"/>
                <w:szCs w:val="24"/>
              </w:rPr>
              <w:tab/>
            </w:r>
            <w:r>
              <w:rPr>
                <w:rFonts w:ascii="宋体" w:hAnsi="宋体"/>
                <w:b w:val="0"/>
                <w:bCs w:val="0"/>
                <w:sz w:val="24"/>
                <w:szCs w:val="24"/>
              </w:rPr>
              <w:fldChar w:fldCharType="begin"/>
            </w:r>
            <w:r>
              <w:rPr>
                <w:rFonts w:ascii="宋体" w:hAnsi="宋体"/>
                <w:b w:val="0"/>
                <w:bCs w:val="0"/>
                <w:sz w:val="24"/>
                <w:szCs w:val="24"/>
              </w:rPr>
              <w:instrText xml:space="preserve"> PAGEREF _Toc46098150 \h </w:instrText>
            </w:r>
            <w:r>
              <w:rPr>
                <w:rFonts w:ascii="宋体" w:hAnsi="宋体"/>
                <w:b w:val="0"/>
                <w:bCs w:val="0"/>
                <w:sz w:val="24"/>
                <w:szCs w:val="24"/>
              </w:rPr>
            </w:r>
            <w:r>
              <w:rPr>
                <w:rFonts w:ascii="宋体" w:hAnsi="宋体"/>
                <w:b w:val="0"/>
                <w:bCs w:val="0"/>
                <w:sz w:val="24"/>
                <w:szCs w:val="24"/>
              </w:rPr>
              <w:fldChar w:fldCharType="separate"/>
            </w:r>
            <w:r>
              <w:rPr>
                <w:rFonts w:ascii="宋体" w:hAnsi="宋体"/>
                <w:b w:val="0"/>
                <w:bCs w:val="0"/>
                <w:sz w:val="24"/>
                <w:szCs w:val="24"/>
              </w:rPr>
              <w:t>1</w:t>
            </w:r>
            <w:r>
              <w:rPr>
                <w:rFonts w:ascii="宋体" w:hAnsi="宋体"/>
                <w:b w:val="0"/>
                <w:bCs w:val="0"/>
                <w:sz w:val="24"/>
                <w:szCs w:val="24"/>
              </w:rPr>
              <w:fldChar w:fldCharType="end"/>
            </w:r>
          </w:hyperlink>
        </w:p>
        <w:p w14:paraId="2CAD70D8" w14:textId="77777777" w:rsidR="005932EC" w:rsidRDefault="00000000">
          <w:pPr>
            <w:pStyle w:val="TOC1"/>
            <w:tabs>
              <w:tab w:val="right" w:leader="dot" w:pos="8268"/>
            </w:tabs>
            <w:spacing w:line="360" w:lineRule="auto"/>
            <w:rPr>
              <w:rFonts w:ascii="宋体" w:hAnsi="宋体" w:cstheme="minorBidi"/>
              <w:b w:val="0"/>
              <w:bCs w:val="0"/>
              <w:caps w:val="0"/>
              <w:sz w:val="24"/>
              <w:szCs w:val="24"/>
            </w:rPr>
          </w:pPr>
          <w:hyperlink w:anchor="_Toc46098151" w:history="1">
            <w:r>
              <w:rPr>
                <w:rStyle w:val="af3"/>
                <w:rFonts w:ascii="宋体" w:hAnsi="宋体"/>
                <w:b w:val="0"/>
                <w:bCs w:val="0"/>
                <w:sz w:val="24"/>
                <w:szCs w:val="24"/>
              </w:rPr>
              <w:t>二、标准编制原则和确定标准主要内容的论据</w:t>
            </w:r>
            <w:r>
              <w:rPr>
                <w:rFonts w:ascii="宋体" w:hAnsi="宋体"/>
                <w:b w:val="0"/>
                <w:bCs w:val="0"/>
                <w:sz w:val="24"/>
                <w:szCs w:val="24"/>
              </w:rPr>
              <w:tab/>
            </w:r>
            <w:r>
              <w:rPr>
                <w:rFonts w:ascii="宋体" w:hAnsi="宋体"/>
                <w:b w:val="0"/>
                <w:bCs w:val="0"/>
                <w:sz w:val="24"/>
                <w:szCs w:val="24"/>
              </w:rPr>
              <w:fldChar w:fldCharType="begin"/>
            </w:r>
            <w:r>
              <w:rPr>
                <w:rFonts w:ascii="宋体" w:hAnsi="宋体"/>
                <w:b w:val="0"/>
                <w:bCs w:val="0"/>
                <w:sz w:val="24"/>
                <w:szCs w:val="24"/>
              </w:rPr>
              <w:instrText xml:space="preserve"> PAGEREF _Toc46098151 \h </w:instrText>
            </w:r>
            <w:r>
              <w:rPr>
                <w:rFonts w:ascii="宋体" w:hAnsi="宋体"/>
                <w:b w:val="0"/>
                <w:bCs w:val="0"/>
                <w:sz w:val="24"/>
                <w:szCs w:val="24"/>
              </w:rPr>
            </w:r>
            <w:r>
              <w:rPr>
                <w:rFonts w:ascii="宋体" w:hAnsi="宋体"/>
                <w:b w:val="0"/>
                <w:bCs w:val="0"/>
                <w:sz w:val="24"/>
                <w:szCs w:val="24"/>
              </w:rPr>
              <w:fldChar w:fldCharType="separate"/>
            </w:r>
            <w:r>
              <w:rPr>
                <w:rFonts w:ascii="宋体" w:hAnsi="宋体"/>
                <w:b w:val="0"/>
                <w:bCs w:val="0"/>
                <w:sz w:val="24"/>
                <w:szCs w:val="24"/>
              </w:rPr>
              <w:t>3</w:t>
            </w:r>
            <w:r>
              <w:rPr>
                <w:rFonts w:ascii="宋体" w:hAnsi="宋体"/>
                <w:b w:val="0"/>
                <w:bCs w:val="0"/>
                <w:sz w:val="24"/>
                <w:szCs w:val="24"/>
              </w:rPr>
              <w:fldChar w:fldCharType="end"/>
            </w:r>
          </w:hyperlink>
        </w:p>
        <w:p w14:paraId="14CEE71D" w14:textId="77777777" w:rsidR="005932EC" w:rsidRDefault="00000000">
          <w:pPr>
            <w:pStyle w:val="TOC1"/>
            <w:tabs>
              <w:tab w:val="right" w:leader="dot" w:pos="8268"/>
            </w:tabs>
            <w:spacing w:line="360" w:lineRule="auto"/>
            <w:rPr>
              <w:rFonts w:ascii="宋体" w:hAnsi="宋体" w:cstheme="minorBidi"/>
              <w:b w:val="0"/>
              <w:bCs w:val="0"/>
              <w:caps w:val="0"/>
              <w:sz w:val="24"/>
              <w:szCs w:val="24"/>
            </w:rPr>
          </w:pPr>
          <w:hyperlink w:anchor="_Toc46098152" w:history="1">
            <w:r>
              <w:rPr>
                <w:rStyle w:val="af3"/>
                <w:rFonts w:ascii="宋体" w:hAnsi="宋体"/>
                <w:b w:val="0"/>
                <w:bCs w:val="0"/>
                <w:sz w:val="24"/>
                <w:szCs w:val="24"/>
              </w:rPr>
              <w:t>三、主要试验（或验证）的分析、综述报告，技术经济论证，预期的经济效果</w:t>
            </w:r>
            <w:r>
              <w:rPr>
                <w:rFonts w:ascii="宋体" w:hAnsi="宋体"/>
                <w:b w:val="0"/>
                <w:bCs w:val="0"/>
                <w:sz w:val="24"/>
                <w:szCs w:val="24"/>
              </w:rPr>
              <w:tab/>
            </w:r>
            <w:r>
              <w:rPr>
                <w:rFonts w:ascii="宋体" w:hAnsi="宋体"/>
                <w:b w:val="0"/>
                <w:bCs w:val="0"/>
                <w:sz w:val="24"/>
                <w:szCs w:val="24"/>
              </w:rPr>
              <w:fldChar w:fldCharType="begin"/>
            </w:r>
            <w:r>
              <w:rPr>
                <w:rFonts w:ascii="宋体" w:hAnsi="宋体"/>
                <w:b w:val="0"/>
                <w:bCs w:val="0"/>
                <w:sz w:val="24"/>
                <w:szCs w:val="24"/>
              </w:rPr>
              <w:instrText xml:space="preserve"> PAGEREF _Toc46098152 \h </w:instrText>
            </w:r>
            <w:r>
              <w:rPr>
                <w:rFonts w:ascii="宋体" w:hAnsi="宋体"/>
                <w:b w:val="0"/>
                <w:bCs w:val="0"/>
                <w:sz w:val="24"/>
                <w:szCs w:val="24"/>
              </w:rPr>
            </w:r>
            <w:r>
              <w:rPr>
                <w:rFonts w:ascii="宋体" w:hAnsi="宋体"/>
                <w:b w:val="0"/>
                <w:bCs w:val="0"/>
                <w:sz w:val="24"/>
                <w:szCs w:val="24"/>
              </w:rPr>
              <w:fldChar w:fldCharType="separate"/>
            </w:r>
            <w:r>
              <w:rPr>
                <w:rFonts w:ascii="宋体" w:hAnsi="宋体"/>
                <w:b w:val="0"/>
                <w:bCs w:val="0"/>
                <w:sz w:val="24"/>
                <w:szCs w:val="24"/>
              </w:rPr>
              <w:t>6</w:t>
            </w:r>
            <w:r>
              <w:rPr>
                <w:rFonts w:ascii="宋体" w:hAnsi="宋体"/>
                <w:b w:val="0"/>
                <w:bCs w:val="0"/>
                <w:sz w:val="24"/>
                <w:szCs w:val="24"/>
              </w:rPr>
              <w:fldChar w:fldCharType="end"/>
            </w:r>
          </w:hyperlink>
        </w:p>
        <w:p w14:paraId="6084F270" w14:textId="77777777" w:rsidR="005932EC" w:rsidRDefault="00000000">
          <w:pPr>
            <w:pStyle w:val="TOC1"/>
            <w:tabs>
              <w:tab w:val="right" w:leader="dot" w:pos="8268"/>
            </w:tabs>
            <w:spacing w:line="360" w:lineRule="auto"/>
            <w:rPr>
              <w:rFonts w:ascii="宋体" w:hAnsi="宋体" w:cstheme="minorBidi"/>
              <w:b w:val="0"/>
              <w:bCs w:val="0"/>
              <w:caps w:val="0"/>
              <w:sz w:val="24"/>
              <w:szCs w:val="24"/>
            </w:rPr>
          </w:pPr>
          <w:hyperlink w:anchor="_Toc46098153" w:history="1">
            <w:r>
              <w:rPr>
                <w:rStyle w:val="af3"/>
                <w:rFonts w:ascii="宋体" w:hAnsi="宋体"/>
                <w:b w:val="0"/>
                <w:bCs w:val="0"/>
                <w:sz w:val="24"/>
                <w:szCs w:val="24"/>
              </w:rPr>
              <w:t>四、采用国际标准和国外先进标准的程度，以及与国际、国外同类标准水平的对比情况，或与测试的国外样品、样机的有关数据对比情况</w:t>
            </w:r>
            <w:r>
              <w:rPr>
                <w:rFonts w:ascii="宋体" w:hAnsi="宋体"/>
                <w:b w:val="0"/>
                <w:bCs w:val="0"/>
                <w:sz w:val="24"/>
                <w:szCs w:val="24"/>
              </w:rPr>
              <w:tab/>
            </w:r>
            <w:r>
              <w:rPr>
                <w:rFonts w:ascii="宋体" w:hAnsi="宋体"/>
                <w:b w:val="0"/>
                <w:bCs w:val="0"/>
                <w:sz w:val="24"/>
                <w:szCs w:val="24"/>
              </w:rPr>
              <w:fldChar w:fldCharType="begin"/>
            </w:r>
            <w:r>
              <w:rPr>
                <w:rFonts w:ascii="宋体" w:hAnsi="宋体"/>
                <w:b w:val="0"/>
                <w:bCs w:val="0"/>
                <w:sz w:val="24"/>
                <w:szCs w:val="24"/>
              </w:rPr>
              <w:instrText xml:space="preserve"> PAGEREF _Toc46098153 \h </w:instrText>
            </w:r>
            <w:r>
              <w:rPr>
                <w:rFonts w:ascii="宋体" w:hAnsi="宋体"/>
                <w:b w:val="0"/>
                <w:bCs w:val="0"/>
                <w:sz w:val="24"/>
                <w:szCs w:val="24"/>
              </w:rPr>
            </w:r>
            <w:r>
              <w:rPr>
                <w:rFonts w:ascii="宋体" w:hAnsi="宋体"/>
                <w:b w:val="0"/>
                <w:bCs w:val="0"/>
                <w:sz w:val="24"/>
                <w:szCs w:val="24"/>
              </w:rPr>
              <w:fldChar w:fldCharType="separate"/>
            </w:r>
            <w:r>
              <w:rPr>
                <w:rFonts w:ascii="宋体" w:hAnsi="宋体"/>
                <w:b w:val="0"/>
                <w:bCs w:val="0"/>
                <w:sz w:val="24"/>
                <w:szCs w:val="24"/>
              </w:rPr>
              <w:t>7</w:t>
            </w:r>
            <w:r>
              <w:rPr>
                <w:rFonts w:ascii="宋体" w:hAnsi="宋体"/>
                <w:b w:val="0"/>
                <w:bCs w:val="0"/>
                <w:sz w:val="24"/>
                <w:szCs w:val="24"/>
              </w:rPr>
              <w:fldChar w:fldCharType="end"/>
            </w:r>
          </w:hyperlink>
        </w:p>
        <w:p w14:paraId="6755A7A6" w14:textId="77777777" w:rsidR="005932EC" w:rsidRDefault="00000000">
          <w:pPr>
            <w:pStyle w:val="TOC1"/>
            <w:tabs>
              <w:tab w:val="right" w:leader="dot" w:pos="8268"/>
            </w:tabs>
            <w:spacing w:line="360" w:lineRule="auto"/>
            <w:rPr>
              <w:rFonts w:ascii="宋体" w:hAnsi="宋体" w:cstheme="minorBidi"/>
              <w:b w:val="0"/>
              <w:bCs w:val="0"/>
              <w:caps w:val="0"/>
              <w:sz w:val="24"/>
              <w:szCs w:val="24"/>
            </w:rPr>
          </w:pPr>
          <w:hyperlink w:anchor="_Toc46098154" w:history="1">
            <w:r>
              <w:rPr>
                <w:rStyle w:val="af3"/>
                <w:rFonts w:ascii="宋体" w:hAnsi="宋体"/>
                <w:b w:val="0"/>
                <w:bCs w:val="0"/>
                <w:sz w:val="24"/>
                <w:szCs w:val="24"/>
              </w:rPr>
              <w:t>五、与有关的现行法律、法规和强制性标准的关系</w:t>
            </w:r>
            <w:r>
              <w:rPr>
                <w:rFonts w:ascii="宋体" w:hAnsi="宋体"/>
                <w:b w:val="0"/>
                <w:bCs w:val="0"/>
                <w:sz w:val="24"/>
                <w:szCs w:val="24"/>
              </w:rPr>
              <w:tab/>
            </w:r>
            <w:r>
              <w:rPr>
                <w:rFonts w:ascii="宋体" w:hAnsi="宋体"/>
                <w:b w:val="0"/>
                <w:bCs w:val="0"/>
                <w:sz w:val="24"/>
                <w:szCs w:val="24"/>
              </w:rPr>
              <w:fldChar w:fldCharType="begin"/>
            </w:r>
            <w:r>
              <w:rPr>
                <w:rFonts w:ascii="宋体" w:hAnsi="宋体"/>
                <w:b w:val="0"/>
                <w:bCs w:val="0"/>
                <w:sz w:val="24"/>
                <w:szCs w:val="24"/>
              </w:rPr>
              <w:instrText xml:space="preserve"> PAGEREF _Toc46098154 \h </w:instrText>
            </w:r>
            <w:r>
              <w:rPr>
                <w:rFonts w:ascii="宋体" w:hAnsi="宋体"/>
                <w:b w:val="0"/>
                <w:bCs w:val="0"/>
                <w:sz w:val="24"/>
                <w:szCs w:val="24"/>
              </w:rPr>
            </w:r>
            <w:r>
              <w:rPr>
                <w:rFonts w:ascii="宋体" w:hAnsi="宋体"/>
                <w:b w:val="0"/>
                <w:bCs w:val="0"/>
                <w:sz w:val="24"/>
                <w:szCs w:val="24"/>
              </w:rPr>
              <w:fldChar w:fldCharType="separate"/>
            </w:r>
            <w:r>
              <w:rPr>
                <w:rFonts w:ascii="宋体" w:hAnsi="宋体"/>
                <w:b w:val="0"/>
                <w:bCs w:val="0"/>
                <w:sz w:val="24"/>
                <w:szCs w:val="24"/>
              </w:rPr>
              <w:t>7</w:t>
            </w:r>
            <w:r>
              <w:rPr>
                <w:rFonts w:ascii="宋体" w:hAnsi="宋体"/>
                <w:b w:val="0"/>
                <w:bCs w:val="0"/>
                <w:sz w:val="24"/>
                <w:szCs w:val="24"/>
              </w:rPr>
              <w:fldChar w:fldCharType="end"/>
            </w:r>
          </w:hyperlink>
        </w:p>
        <w:p w14:paraId="5C0D79E6" w14:textId="77777777" w:rsidR="005932EC" w:rsidRDefault="00000000">
          <w:pPr>
            <w:pStyle w:val="TOC1"/>
            <w:tabs>
              <w:tab w:val="right" w:leader="dot" w:pos="8268"/>
            </w:tabs>
            <w:spacing w:line="360" w:lineRule="auto"/>
            <w:rPr>
              <w:rFonts w:ascii="宋体" w:hAnsi="宋体" w:cstheme="minorBidi"/>
              <w:b w:val="0"/>
              <w:bCs w:val="0"/>
              <w:caps w:val="0"/>
              <w:sz w:val="24"/>
              <w:szCs w:val="24"/>
            </w:rPr>
          </w:pPr>
          <w:hyperlink w:anchor="_Toc46098155" w:history="1">
            <w:r>
              <w:rPr>
                <w:rStyle w:val="af3"/>
                <w:rFonts w:ascii="宋体" w:hAnsi="宋体"/>
                <w:b w:val="0"/>
                <w:bCs w:val="0"/>
                <w:sz w:val="24"/>
                <w:szCs w:val="24"/>
              </w:rPr>
              <w:t>六、重大分歧意见的处理经过和依据</w:t>
            </w:r>
            <w:r>
              <w:rPr>
                <w:rFonts w:ascii="宋体" w:hAnsi="宋体"/>
                <w:b w:val="0"/>
                <w:bCs w:val="0"/>
                <w:sz w:val="24"/>
                <w:szCs w:val="24"/>
              </w:rPr>
              <w:tab/>
            </w:r>
            <w:r>
              <w:rPr>
                <w:rFonts w:ascii="宋体" w:hAnsi="宋体"/>
                <w:b w:val="0"/>
                <w:bCs w:val="0"/>
                <w:sz w:val="24"/>
                <w:szCs w:val="24"/>
              </w:rPr>
              <w:fldChar w:fldCharType="begin"/>
            </w:r>
            <w:r>
              <w:rPr>
                <w:rFonts w:ascii="宋体" w:hAnsi="宋体"/>
                <w:b w:val="0"/>
                <w:bCs w:val="0"/>
                <w:sz w:val="24"/>
                <w:szCs w:val="24"/>
              </w:rPr>
              <w:instrText xml:space="preserve"> PAGEREF _Toc46098155 \h </w:instrText>
            </w:r>
            <w:r>
              <w:rPr>
                <w:rFonts w:ascii="宋体" w:hAnsi="宋体"/>
                <w:b w:val="0"/>
                <w:bCs w:val="0"/>
                <w:sz w:val="24"/>
                <w:szCs w:val="24"/>
              </w:rPr>
            </w:r>
            <w:r>
              <w:rPr>
                <w:rFonts w:ascii="宋体" w:hAnsi="宋体"/>
                <w:b w:val="0"/>
                <w:bCs w:val="0"/>
                <w:sz w:val="24"/>
                <w:szCs w:val="24"/>
              </w:rPr>
              <w:fldChar w:fldCharType="separate"/>
            </w:r>
            <w:r>
              <w:rPr>
                <w:rFonts w:ascii="宋体" w:hAnsi="宋体"/>
                <w:b w:val="0"/>
                <w:bCs w:val="0"/>
                <w:sz w:val="24"/>
                <w:szCs w:val="24"/>
              </w:rPr>
              <w:t>7</w:t>
            </w:r>
            <w:r>
              <w:rPr>
                <w:rFonts w:ascii="宋体" w:hAnsi="宋体"/>
                <w:b w:val="0"/>
                <w:bCs w:val="0"/>
                <w:sz w:val="24"/>
                <w:szCs w:val="24"/>
              </w:rPr>
              <w:fldChar w:fldCharType="end"/>
            </w:r>
          </w:hyperlink>
        </w:p>
        <w:p w14:paraId="0C0A4A4B" w14:textId="77777777" w:rsidR="005932EC" w:rsidRDefault="00000000">
          <w:pPr>
            <w:pStyle w:val="TOC1"/>
            <w:tabs>
              <w:tab w:val="right" w:leader="dot" w:pos="8268"/>
            </w:tabs>
            <w:spacing w:line="360" w:lineRule="auto"/>
            <w:rPr>
              <w:rFonts w:ascii="宋体" w:hAnsi="宋体" w:cstheme="minorBidi"/>
              <w:b w:val="0"/>
              <w:bCs w:val="0"/>
              <w:caps w:val="0"/>
              <w:sz w:val="24"/>
              <w:szCs w:val="24"/>
            </w:rPr>
          </w:pPr>
          <w:hyperlink w:anchor="_Toc46098156" w:history="1">
            <w:r>
              <w:rPr>
                <w:rStyle w:val="af3"/>
                <w:rFonts w:ascii="宋体" w:hAnsi="宋体"/>
                <w:b w:val="0"/>
                <w:bCs w:val="0"/>
                <w:sz w:val="24"/>
                <w:szCs w:val="24"/>
              </w:rPr>
              <w:t>七、贯彻标准的要求和措施建议（包括组织措施、技术措施、过渡办法等内容）</w:t>
            </w:r>
            <w:r>
              <w:rPr>
                <w:rFonts w:ascii="宋体" w:hAnsi="宋体"/>
                <w:b w:val="0"/>
                <w:bCs w:val="0"/>
                <w:sz w:val="24"/>
                <w:szCs w:val="24"/>
              </w:rPr>
              <w:tab/>
            </w:r>
            <w:r>
              <w:rPr>
                <w:rFonts w:ascii="宋体" w:hAnsi="宋体"/>
                <w:b w:val="0"/>
                <w:bCs w:val="0"/>
                <w:sz w:val="24"/>
                <w:szCs w:val="24"/>
              </w:rPr>
              <w:fldChar w:fldCharType="begin"/>
            </w:r>
            <w:r>
              <w:rPr>
                <w:rFonts w:ascii="宋体" w:hAnsi="宋体"/>
                <w:b w:val="0"/>
                <w:bCs w:val="0"/>
                <w:sz w:val="24"/>
                <w:szCs w:val="24"/>
              </w:rPr>
              <w:instrText xml:space="preserve"> PAGEREF _Toc46098156 \h </w:instrText>
            </w:r>
            <w:r>
              <w:rPr>
                <w:rFonts w:ascii="宋体" w:hAnsi="宋体"/>
                <w:b w:val="0"/>
                <w:bCs w:val="0"/>
                <w:sz w:val="24"/>
                <w:szCs w:val="24"/>
              </w:rPr>
            </w:r>
            <w:r>
              <w:rPr>
                <w:rFonts w:ascii="宋体" w:hAnsi="宋体"/>
                <w:b w:val="0"/>
                <w:bCs w:val="0"/>
                <w:sz w:val="24"/>
                <w:szCs w:val="24"/>
              </w:rPr>
              <w:fldChar w:fldCharType="separate"/>
            </w:r>
            <w:r>
              <w:rPr>
                <w:rFonts w:ascii="宋体" w:hAnsi="宋体"/>
                <w:b w:val="0"/>
                <w:bCs w:val="0"/>
                <w:sz w:val="24"/>
                <w:szCs w:val="24"/>
              </w:rPr>
              <w:t>7</w:t>
            </w:r>
            <w:r>
              <w:rPr>
                <w:rFonts w:ascii="宋体" w:hAnsi="宋体"/>
                <w:b w:val="0"/>
                <w:bCs w:val="0"/>
                <w:sz w:val="24"/>
                <w:szCs w:val="24"/>
              </w:rPr>
              <w:fldChar w:fldCharType="end"/>
            </w:r>
          </w:hyperlink>
        </w:p>
        <w:p w14:paraId="01D0DBA4" w14:textId="77777777" w:rsidR="005932EC" w:rsidRDefault="00000000">
          <w:pPr>
            <w:pStyle w:val="TOC1"/>
            <w:tabs>
              <w:tab w:val="right" w:leader="dot" w:pos="8268"/>
            </w:tabs>
            <w:spacing w:line="360" w:lineRule="auto"/>
            <w:rPr>
              <w:rFonts w:ascii="宋体" w:hAnsi="宋体" w:cstheme="minorBidi"/>
              <w:b w:val="0"/>
              <w:bCs w:val="0"/>
              <w:caps w:val="0"/>
              <w:sz w:val="24"/>
              <w:szCs w:val="24"/>
            </w:rPr>
          </w:pPr>
          <w:hyperlink w:anchor="_Toc46098157" w:history="1">
            <w:r>
              <w:rPr>
                <w:rStyle w:val="af3"/>
                <w:rFonts w:ascii="宋体" w:hAnsi="宋体"/>
                <w:b w:val="0"/>
                <w:bCs w:val="0"/>
                <w:sz w:val="24"/>
                <w:szCs w:val="24"/>
              </w:rPr>
              <w:t>八、废止现行有关标准的建议</w:t>
            </w:r>
            <w:r>
              <w:rPr>
                <w:rFonts w:ascii="宋体" w:hAnsi="宋体"/>
                <w:b w:val="0"/>
                <w:bCs w:val="0"/>
                <w:sz w:val="24"/>
                <w:szCs w:val="24"/>
              </w:rPr>
              <w:tab/>
            </w:r>
            <w:r>
              <w:rPr>
                <w:rFonts w:ascii="宋体" w:hAnsi="宋体"/>
                <w:b w:val="0"/>
                <w:bCs w:val="0"/>
                <w:sz w:val="24"/>
                <w:szCs w:val="24"/>
              </w:rPr>
              <w:fldChar w:fldCharType="begin"/>
            </w:r>
            <w:r>
              <w:rPr>
                <w:rFonts w:ascii="宋体" w:hAnsi="宋体"/>
                <w:b w:val="0"/>
                <w:bCs w:val="0"/>
                <w:sz w:val="24"/>
                <w:szCs w:val="24"/>
              </w:rPr>
              <w:instrText xml:space="preserve"> PAGEREF _Toc46098157 \h </w:instrText>
            </w:r>
            <w:r>
              <w:rPr>
                <w:rFonts w:ascii="宋体" w:hAnsi="宋体"/>
                <w:b w:val="0"/>
                <w:bCs w:val="0"/>
                <w:sz w:val="24"/>
                <w:szCs w:val="24"/>
              </w:rPr>
            </w:r>
            <w:r>
              <w:rPr>
                <w:rFonts w:ascii="宋体" w:hAnsi="宋体"/>
                <w:b w:val="0"/>
                <w:bCs w:val="0"/>
                <w:sz w:val="24"/>
                <w:szCs w:val="24"/>
              </w:rPr>
              <w:fldChar w:fldCharType="separate"/>
            </w:r>
            <w:r>
              <w:rPr>
                <w:rFonts w:ascii="宋体" w:hAnsi="宋体"/>
                <w:b w:val="0"/>
                <w:bCs w:val="0"/>
                <w:sz w:val="24"/>
                <w:szCs w:val="24"/>
              </w:rPr>
              <w:t>7</w:t>
            </w:r>
            <w:r>
              <w:rPr>
                <w:rFonts w:ascii="宋体" w:hAnsi="宋体"/>
                <w:b w:val="0"/>
                <w:bCs w:val="0"/>
                <w:sz w:val="24"/>
                <w:szCs w:val="24"/>
              </w:rPr>
              <w:fldChar w:fldCharType="end"/>
            </w:r>
          </w:hyperlink>
        </w:p>
        <w:p w14:paraId="4486E57D" w14:textId="77777777" w:rsidR="005932EC" w:rsidRDefault="00000000">
          <w:pPr>
            <w:pStyle w:val="TOC1"/>
            <w:tabs>
              <w:tab w:val="right" w:leader="dot" w:pos="8268"/>
            </w:tabs>
            <w:spacing w:line="360" w:lineRule="auto"/>
            <w:rPr>
              <w:rFonts w:ascii="宋体" w:hAnsi="宋体" w:cstheme="minorBidi"/>
              <w:b w:val="0"/>
              <w:bCs w:val="0"/>
              <w:caps w:val="0"/>
              <w:sz w:val="24"/>
              <w:szCs w:val="24"/>
            </w:rPr>
          </w:pPr>
          <w:hyperlink w:anchor="_Toc46098158" w:history="1">
            <w:r>
              <w:rPr>
                <w:rStyle w:val="af3"/>
                <w:rFonts w:ascii="宋体" w:hAnsi="宋体"/>
                <w:b w:val="0"/>
                <w:bCs w:val="0"/>
                <w:sz w:val="24"/>
                <w:szCs w:val="24"/>
              </w:rPr>
              <w:t>九、其他应予说明的事项</w:t>
            </w:r>
            <w:r>
              <w:rPr>
                <w:rFonts w:ascii="宋体" w:hAnsi="宋体"/>
                <w:b w:val="0"/>
                <w:bCs w:val="0"/>
                <w:sz w:val="24"/>
                <w:szCs w:val="24"/>
              </w:rPr>
              <w:tab/>
            </w:r>
            <w:r>
              <w:rPr>
                <w:rFonts w:ascii="宋体" w:hAnsi="宋体"/>
                <w:b w:val="0"/>
                <w:bCs w:val="0"/>
                <w:sz w:val="24"/>
                <w:szCs w:val="24"/>
              </w:rPr>
              <w:fldChar w:fldCharType="begin"/>
            </w:r>
            <w:r>
              <w:rPr>
                <w:rFonts w:ascii="宋体" w:hAnsi="宋体"/>
                <w:b w:val="0"/>
                <w:bCs w:val="0"/>
                <w:sz w:val="24"/>
                <w:szCs w:val="24"/>
              </w:rPr>
              <w:instrText xml:space="preserve"> PAGEREF _Toc46098158 \h </w:instrText>
            </w:r>
            <w:r>
              <w:rPr>
                <w:rFonts w:ascii="宋体" w:hAnsi="宋体"/>
                <w:b w:val="0"/>
                <w:bCs w:val="0"/>
                <w:sz w:val="24"/>
                <w:szCs w:val="24"/>
              </w:rPr>
            </w:r>
            <w:r>
              <w:rPr>
                <w:rFonts w:ascii="宋体" w:hAnsi="宋体"/>
                <w:b w:val="0"/>
                <w:bCs w:val="0"/>
                <w:sz w:val="24"/>
                <w:szCs w:val="24"/>
              </w:rPr>
              <w:fldChar w:fldCharType="separate"/>
            </w:r>
            <w:r>
              <w:rPr>
                <w:rFonts w:ascii="宋体" w:hAnsi="宋体"/>
                <w:b w:val="0"/>
                <w:bCs w:val="0"/>
                <w:sz w:val="24"/>
                <w:szCs w:val="24"/>
              </w:rPr>
              <w:t>8</w:t>
            </w:r>
            <w:r>
              <w:rPr>
                <w:rFonts w:ascii="宋体" w:hAnsi="宋体"/>
                <w:b w:val="0"/>
                <w:bCs w:val="0"/>
                <w:sz w:val="24"/>
                <w:szCs w:val="24"/>
              </w:rPr>
              <w:fldChar w:fldCharType="end"/>
            </w:r>
          </w:hyperlink>
        </w:p>
        <w:p w14:paraId="061ECE1F" w14:textId="77777777" w:rsidR="005932EC" w:rsidRDefault="00000000">
          <w:pPr>
            <w:spacing w:line="360" w:lineRule="auto"/>
            <w:rPr>
              <w:rFonts w:ascii="宋体" w:hAnsi="宋体"/>
              <w:sz w:val="24"/>
              <w:szCs w:val="24"/>
            </w:rPr>
          </w:pPr>
          <w:r>
            <w:rPr>
              <w:rFonts w:ascii="宋体" w:hAnsi="宋体"/>
              <w:sz w:val="24"/>
              <w:szCs w:val="24"/>
            </w:rPr>
            <w:fldChar w:fldCharType="end"/>
          </w:r>
        </w:p>
      </w:sdtContent>
    </w:sdt>
    <w:p w14:paraId="00EAC19E" w14:textId="77777777" w:rsidR="005932EC" w:rsidRDefault="005932EC">
      <w:pPr>
        <w:spacing w:line="360" w:lineRule="auto"/>
        <w:rPr>
          <w:rFonts w:ascii="黑体" w:eastAsia="黑体" w:hAnsi="黑体"/>
          <w:szCs w:val="21"/>
        </w:rPr>
        <w:sectPr w:rsidR="005932EC">
          <w:footerReference w:type="default" r:id="rId9"/>
          <w:pgSz w:w="11906" w:h="16838"/>
          <w:pgMar w:top="1588" w:right="1814" w:bottom="1588" w:left="1814" w:header="851" w:footer="992" w:gutter="0"/>
          <w:cols w:space="425"/>
          <w:titlePg/>
          <w:docGrid w:type="lines" w:linePitch="312"/>
        </w:sectPr>
      </w:pPr>
    </w:p>
    <w:p w14:paraId="446F5BF1" w14:textId="77777777" w:rsidR="005932EC" w:rsidRDefault="00000000">
      <w:pPr>
        <w:spacing w:line="360" w:lineRule="auto"/>
        <w:jc w:val="center"/>
        <w:rPr>
          <w:rFonts w:asciiTheme="minorEastAsia" w:eastAsiaTheme="minorEastAsia" w:hAnsiTheme="minorEastAsia"/>
          <w:b/>
          <w:sz w:val="24"/>
          <w:szCs w:val="24"/>
        </w:rPr>
      </w:pPr>
      <w:bookmarkStart w:id="0" w:name="_Toc483660122"/>
      <w:bookmarkStart w:id="1" w:name="_Toc89252253"/>
      <w:r>
        <w:rPr>
          <w:rFonts w:asciiTheme="minorEastAsia" w:eastAsiaTheme="minorEastAsia" w:hAnsiTheme="minorEastAsia" w:hint="eastAsia"/>
          <w:b/>
          <w:sz w:val="24"/>
          <w:szCs w:val="24"/>
        </w:rPr>
        <w:lastRenderedPageBreak/>
        <w:t>《集装箱码头智能配载数据交互接口技术要求》编制说明</w:t>
      </w:r>
    </w:p>
    <w:p w14:paraId="7F26FC92" w14:textId="77777777" w:rsidR="005932EC" w:rsidRDefault="00000000">
      <w:pPr>
        <w:spacing w:beforeLines="50" w:before="156" w:line="360" w:lineRule="auto"/>
        <w:outlineLvl w:val="0"/>
        <w:rPr>
          <w:rFonts w:asciiTheme="minorEastAsia" w:eastAsiaTheme="minorEastAsia" w:hAnsiTheme="minorEastAsia"/>
          <w:b/>
          <w:sz w:val="24"/>
          <w:szCs w:val="24"/>
        </w:rPr>
      </w:pPr>
      <w:bookmarkStart w:id="2" w:name="_Toc46098150"/>
      <w:r>
        <w:rPr>
          <w:rFonts w:asciiTheme="minorEastAsia" w:eastAsiaTheme="minorEastAsia" w:hAnsiTheme="minorEastAsia" w:hint="eastAsia"/>
          <w:b/>
          <w:sz w:val="24"/>
          <w:szCs w:val="24"/>
        </w:rPr>
        <w:t>一、工</w:t>
      </w:r>
      <w:r>
        <w:rPr>
          <w:rFonts w:asciiTheme="minorEastAsia" w:eastAsiaTheme="minorEastAsia" w:hAnsiTheme="minorEastAsia" w:cs="Arial"/>
          <w:b/>
          <w:color w:val="000000"/>
          <w:sz w:val="24"/>
          <w:szCs w:val="24"/>
        </w:rPr>
        <w:t>作简况</w:t>
      </w:r>
      <w:bookmarkEnd w:id="0"/>
      <w:bookmarkEnd w:id="2"/>
    </w:p>
    <w:p w14:paraId="15B46CF2" w14:textId="77777777" w:rsidR="005932EC" w:rsidRDefault="00000000">
      <w:pPr>
        <w:spacing w:beforeLines="50" w:before="156" w:line="360" w:lineRule="auto"/>
        <w:rPr>
          <w:rFonts w:asciiTheme="minorEastAsia" w:eastAsiaTheme="minorEastAsia" w:hAnsiTheme="minorEastAsia"/>
          <w:b/>
          <w:sz w:val="24"/>
          <w:szCs w:val="24"/>
        </w:rPr>
      </w:pPr>
      <w:bookmarkStart w:id="3" w:name="_Toc26972780"/>
      <w:bookmarkStart w:id="4" w:name="_Toc483660123"/>
      <w:r>
        <w:rPr>
          <w:rFonts w:asciiTheme="minorEastAsia" w:eastAsiaTheme="minorEastAsia" w:hAnsiTheme="minorEastAsia" w:hint="eastAsia"/>
          <w:b/>
          <w:sz w:val="24"/>
          <w:szCs w:val="24"/>
        </w:rPr>
        <w:t>（一）任务来源</w:t>
      </w:r>
      <w:bookmarkEnd w:id="1"/>
      <w:bookmarkEnd w:id="3"/>
      <w:bookmarkEnd w:id="4"/>
    </w:p>
    <w:p w14:paraId="45C435CA" w14:textId="77777777" w:rsidR="005932EC" w:rsidRDefault="00000000">
      <w:pPr>
        <w:spacing w:beforeLines="50" w:before="156" w:line="360" w:lineRule="auto"/>
        <w:ind w:firstLine="435"/>
        <w:jc w:val="left"/>
        <w:rPr>
          <w:rFonts w:asciiTheme="minorEastAsia" w:eastAsiaTheme="minorEastAsia" w:hAnsiTheme="minorEastAsia"/>
          <w:sz w:val="24"/>
          <w:szCs w:val="24"/>
        </w:rPr>
      </w:pPr>
      <w:r>
        <w:rPr>
          <w:rFonts w:asciiTheme="minorEastAsia" w:eastAsiaTheme="minorEastAsia" w:hAnsiTheme="minorEastAsia" w:hint="eastAsia"/>
          <w:sz w:val="24"/>
          <w:szCs w:val="24"/>
        </w:rPr>
        <w:t>团体标准《</w:t>
      </w:r>
      <w:r>
        <w:rPr>
          <w:rFonts w:asciiTheme="minorEastAsia" w:eastAsiaTheme="minorEastAsia" w:hAnsiTheme="minorEastAsia" w:hint="eastAsia"/>
          <w:bCs/>
          <w:sz w:val="24"/>
          <w:szCs w:val="24"/>
        </w:rPr>
        <w:t>集装箱码头智能配载数据交互接口技术要求</w:t>
      </w:r>
      <w:r>
        <w:rPr>
          <w:rFonts w:asciiTheme="minorEastAsia" w:eastAsiaTheme="minorEastAsia" w:hAnsiTheme="minorEastAsia" w:hint="eastAsia"/>
          <w:sz w:val="24"/>
          <w:szCs w:val="24"/>
        </w:rPr>
        <w:t>》是</w:t>
      </w:r>
      <w:r>
        <w:rPr>
          <w:rFonts w:asciiTheme="minorEastAsia" w:eastAsiaTheme="minorEastAsia" w:hAnsiTheme="minorEastAsia" w:hint="eastAsia"/>
          <w:color w:val="FF0000"/>
          <w:sz w:val="24"/>
          <w:szCs w:val="24"/>
        </w:rPr>
        <w:t>根据2023 年中国港口协会团体标准工作计划</w:t>
      </w:r>
      <w:r>
        <w:rPr>
          <w:rFonts w:asciiTheme="minorEastAsia" w:eastAsiaTheme="minorEastAsia" w:hAnsiTheme="minorEastAsia" w:hint="eastAsia"/>
          <w:sz w:val="24"/>
          <w:szCs w:val="24"/>
        </w:rPr>
        <w:t>，计划编号（</w:t>
      </w:r>
      <w:r>
        <w:rPr>
          <w:rFonts w:asciiTheme="minorEastAsia" w:eastAsiaTheme="minorEastAsia" w:hAnsiTheme="minorEastAsia"/>
          <w:color w:val="FF0000"/>
          <w:sz w:val="24"/>
          <w:szCs w:val="24"/>
        </w:rPr>
        <w:t>****-**</w:t>
      </w:r>
      <w:r>
        <w:rPr>
          <w:rFonts w:asciiTheme="minorEastAsia" w:eastAsiaTheme="minorEastAsia" w:hAnsiTheme="minorEastAsia" w:hint="eastAsia"/>
          <w:sz w:val="24"/>
          <w:szCs w:val="24"/>
        </w:rPr>
        <w:t>）的安排，由上海海事大学负责编制。</w:t>
      </w:r>
    </w:p>
    <w:p w14:paraId="135050DD" w14:textId="77777777" w:rsidR="005932EC" w:rsidRDefault="00000000">
      <w:pPr>
        <w:spacing w:beforeLines="50" w:before="156" w:line="360" w:lineRule="auto"/>
        <w:rPr>
          <w:rFonts w:asciiTheme="minorEastAsia" w:eastAsiaTheme="minorEastAsia" w:hAnsiTheme="minorEastAsia"/>
          <w:b/>
          <w:sz w:val="24"/>
          <w:szCs w:val="24"/>
        </w:rPr>
      </w:pPr>
      <w:bookmarkStart w:id="5" w:name="_Toc26972781"/>
      <w:r>
        <w:rPr>
          <w:rFonts w:asciiTheme="minorEastAsia" w:eastAsiaTheme="minorEastAsia" w:hAnsiTheme="minorEastAsia" w:hint="eastAsia"/>
          <w:b/>
          <w:sz w:val="24"/>
          <w:szCs w:val="24"/>
        </w:rPr>
        <w:t>（二）起草单位</w:t>
      </w:r>
      <w:bookmarkEnd w:id="5"/>
    </w:p>
    <w:p w14:paraId="0B3AF6E5" w14:textId="77777777" w:rsidR="005932EC" w:rsidRDefault="00000000">
      <w:pPr>
        <w:spacing w:beforeLines="50" w:before="156" w:line="360" w:lineRule="auto"/>
        <w:ind w:firstLine="435"/>
        <w:jc w:val="left"/>
        <w:rPr>
          <w:rFonts w:ascii="黑体" w:eastAsia="黑体" w:hAnsi="黑体"/>
          <w:sz w:val="24"/>
          <w:szCs w:val="24"/>
        </w:rPr>
      </w:pPr>
      <w:r>
        <w:rPr>
          <w:rFonts w:ascii="宋体" w:hint="eastAsia"/>
          <w:sz w:val="24"/>
          <w:szCs w:val="24"/>
        </w:rPr>
        <w:t>标准编写主要由</w:t>
      </w:r>
      <w:r>
        <w:rPr>
          <w:rFonts w:asciiTheme="minorEastAsia" w:eastAsiaTheme="minorEastAsia" w:hAnsiTheme="minorEastAsia" w:hint="eastAsia"/>
          <w:sz w:val="24"/>
          <w:szCs w:val="24"/>
        </w:rPr>
        <w:t>上海海事大学</w:t>
      </w:r>
      <w:r>
        <w:rPr>
          <w:rFonts w:ascii="宋体" w:hint="eastAsia"/>
          <w:sz w:val="24"/>
          <w:szCs w:val="24"/>
        </w:rPr>
        <w:t>负责、协作单位主要为</w:t>
      </w:r>
      <w:r>
        <w:rPr>
          <w:rFonts w:asciiTheme="minorEastAsia" w:eastAsiaTheme="minorEastAsia" w:hAnsiTheme="minorEastAsia" w:hint="eastAsia"/>
          <w:sz w:val="24"/>
          <w:szCs w:val="24"/>
        </w:rPr>
        <w:t>上海港明东集装箱码头有限公司、</w:t>
      </w:r>
      <w:r>
        <w:rPr>
          <w:rFonts w:ascii="宋体" w:hint="eastAsia"/>
          <w:sz w:val="24"/>
          <w:szCs w:val="24"/>
        </w:rPr>
        <w:t>上海慧铠科技有限公司、中国港口协会。</w:t>
      </w:r>
    </w:p>
    <w:p w14:paraId="701E630A" w14:textId="77777777" w:rsidR="005932EC" w:rsidRDefault="00000000">
      <w:pPr>
        <w:spacing w:beforeLines="50" w:before="156" w:line="360" w:lineRule="auto"/>
        <w:rPr>
          <w:rFonts w:asciiTheme="minorEastAsia" w:eastAsiaTheme="minorEastAsia" w:hAnsiTheme="minorEastAsia"/>
          <w:b/>
          <w:sz w:val="24"/>
          <w:szCs w:val="24"/>
        </w:rPr>
      </w:pPr>
      <w:bookmarkStart w:id="6" w:name="_Toc26972782"/>
      <w:r>
        <w:rPr>
          <w:rFonts w:asciiTheme="minorEastAsia" w:eastAsiaTheme="minorEastAsia" w:hAnsiTheme="minorEastAsia" w:hint="eastAsia"/>
          <w:b/>
          <w:sz w:val="24"/>
          <w:szCs w:val="24"/>
        </w:rPr>
        <w:t>（三）主要起草人及其所做的工作</w:t>
      </w:r>
      <w:bookmarkEnd w:id="6"/>
    </w:p>
    <w:p w14:paraId="58CA6B25" w14:textId="77777777" w:rsidR="005932EC" w:rsidRDefault="00000000">
      <w:pPr>
        <w:spacing w:beforeLines="50" w:before="156" w:line="360" w:lineRule="auto"/>
        <w:ind w:firstLine="435"/>
        <w:jc w:val="left"/>
        <w:rPr>
          <w:rFonts w:ascii="宋体"/>
          <w:sz w:val="24"/>
          <w:szCs w:val="24"/>
        </w:rPr>
      </w:pPr>
      <w:r>
        <w:rPr>
          <w:rFonts w:ascii="宋体" w:hint="eastAsia"/>
          <w:sz w:val="24"/>
          <w:szCs w:val="24"/>
        </w:rPr>
        <w:t>标准主要起草人有赵宁、沈一帆、杜学强、俞文激、黄海叡、贺华骏、蒋源、杨振。</w:t>
      </w:r>
    </w:p>
    <w:p w14:paraId="687D55A9" w14:textId="77777777" w:rsidR="005932EC" w:rsidRDefault="00000000">
      <w:pPr>
        <w:spacing w:beforeLines="50" w:before="156" w:line="360" w:lineRule="auto"/>
        <w:ind w:firstLine="435"/>
        <w:jc w:val="left"/>
        <w:rPr>
          <w:rFonts w:ascii="宋体"/>
          <w:sz w:val="24"/>
          <w:szCs w:val="24"/>
        </w:rPr>
      </w:pPr>
      <w:r>
        <w:rPr>
          <w:rFonts w:ascii="宋体" w:hint="eastAsia"/>
          <w:sz w:val="24"/>
          <w:szCs w:val="24"/>
        </w:rPr>
        <w:t>起草人任务分工见表1.1。</w:t>
      </w:r>
    </w:p>
    <w:p w14:paraId="2B4C31D3" w14:textId="77777777" w:rsidR="005932EC" w:rsidRDefault="00000000">
      <w:pPr>
        <w:spacing w:beforeLines="50" w:before="156" w:line="360" w:lineRule="auto"/>
        <w:jc w:val="center"/>
        <w:rPr>
          <w:rFonts w:ascii="黑体" w:eastAsia="黑体" w:hAnsi="黑体"/>
          <w:sz w:val="24"/>
          <w:szCs w:val="24"/>
        </w:rPr>
      </w:pPr>
      <w:r>
        <w:rPr>
          <w:rFonts w:ascii="黑体" w:eastAsia="黑体" w:hAnsi="黑体" w:hint="eastAsia"/>
          <w:sz w:val="24"/>
          <w:szCs w:val="24"/>
        </w:rPr>
        <w:t>表1.1 标准主要起草人任务分工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617"/>
        <w:gridCol w:w="1359"/>
        <w:gridCol w:w="1134"/>
        <w:gridCol w:w="3028"/>
      </w:tblGrid>
      <w:tr w:rsidR="005932EC" w14:paraId="467DB579" w14:textId="77777777">
        <w:tc>
          <w:tcPr>
            <w:tcW w:w="1130" w:type="dxa"/>
          </w:tcPr>
          <w:p w14:paraId="2520480A"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姓名</w:t>
            </w:r>
          </w:p>
        </w:tc>
        <w:tc>
          <w:tcPr>
            <w:tcW w:w="1617" w:type="dxa"/>
          </w:tcPr>
          <w:p w14:paraId="6278800C"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单  位</w:t>
            </w:r>
          </w:p>
        </w:tc>
        <w:tc>
          <w:tcPr>
            <w:tcW w:w="1359" w:type="dxa"/>
          </w:tcPr>
          <w:p w14:paraId="43D53316"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职务、职称</w:t>
            </w:r>
          </w:p>
        </w:tc>
        <w:tc>
          <w:tcPr>
            <w:tcW w:w="1134" w:type="dxa"/>
          </w:tcPr>
          <w:p w14:paraId="6515ADF4"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项目职务</w:t>
            </w:r>
          </w:p>
        </w:tc>
        <w:tc>
          <w:tcPr>
            <w:tcW w:w="3028" w:type="dxa"/>
          </w:tcPr>
          <w:p w14:paraId="0BBF571D"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分    工</w:t>
            </w:r>
          </w:p>
        </w:tc>
      </w:tr>
      <w:tr w:rsidR="005932EC" w14:paraId="6390D38E" w14:textId="77777777">
        <w:tc>
          <w:tcPr>
            <w:tcW w:w="1130" w:type="dxa"/>
            <w:vAlign w:val="center"/>
          </w:tcPr>
          <w:p w14:paraId="129CA5A9" w14:textId="77777777" w:rsidR="005932EC" w:rsidRDefault="00000000">
            <w:pPr>
              <w:spacing w:beforeLines="50" w:before="156" w:line="360" w:lineRule="auto"/>
              <w:jc w:val="center"/>
              <w:rPr>
                <w:rFonts w:ascii="宋体"/>
                <w:sz w:val="22"/>
                <w:szCs w:val="22"/>
              </w:rPr>
            </w:pPr>
            <w:r>
              <w:rPr>
                <w:rFonts w:ascii="宋体" w:hint="eastAsia"/>
                <w:sz w:val="22"/>
                <w:szCs w:val="22"/>
              </w:rPr>
              <w:t>赵宁</w:t>
            </w:r>
          </w:p>
        </w:tc>
        <w:tc>
          <w:tcPr>
            <w:tcW w:w="1617" w:type="dxa"/>
            <w:vAlign w:val="center"/>
          </w:tcPr>
          <w:p w14:paraId="1E8BFCBE" w14:textId="77777777" w:rsidR="005932EC" w:rsidRDefault="00000000">
            <w:pPr>
              <w:spacing w:beforeLines="50" w:before="156" w:line="360" w:lineRule="auto"/>
              <w:jc w:val="center"/>
              <w:rPr>
                <w:rFonts w:ascii="宋体" w:hAnsi="宋体" w:cs="宋体"/>
                <w:color w:val="000000"/>
                <w:kern w:val="0"/>
                <w:sz w:val="22"/>
                <w:szCs w:val="22"/>
                <w:lang w:bidi="ar"/>
              </w:rPr>
            </w:pPr>
            <w:r>
              <w:rPr>
                <w:rFonts w:ascii="宋体" w:hAnsi="宋体" w:cs="宋体" w:hint="eastAsia"/>
                <w:color w:val="000000"/>
                <w:sz w:val="22"/>
                <w:szCs w:val="22"/>
                <w:lang w:bidi="ar"/>
              </w:rPr>
              <w:t>上海海事大学</w:t>
            </w:r>
          </w:p>
        </w:tc>
        <w:tc>
          <w:tcPr>
            <w:tcW w:w="1359" w:type="dxa"/>
            <w:vAlign w:val="center"/>
          </w:tcPr>
          <w:p w14:paraId="7B6BCF46" w14:textId="77777777" w:rsidR="005932EC" w:rsidRDefault="00000000">
            <w:pPr>
              <w:spacing w:beforeLines="50" w:before="156" w:line="360" w:lineRule="auto"/>
              <w:jc w:val="center"/>
              <w:rPr>
                <w:rFonts w:asciiTheme="minorEastAsia" w:eastAsiaTheme="minorEastAsia" w:hAnsiTheme="minorEastAsia"/>
                <w:szCs w:val="21"/>
              </w:rPr>
            </w:pPr>
            <w:r>
              <w:rPr>
                <w:rFonts w:ascii="宋体" w:hAnsi="宋体" w:cs="宋体" w:hint="eastAsia"/>
                <w:color w:val="000000"/>
                <w:sz w:val="22"/>
                <w:szCs w:val="22"/>
                <w:lang w:bidi="ar"/>
              </w:rPr>
              <w:t>副教授</w:t>
            </w:r>
          </w:p>
        </w:tc>
        <w:tc>
          <w:tcPr>
            <w:tcW w:w="1134" w:type="dxa"/>
            <w:vAlign w:val="center"/>
          </w:tcPr>
          <w:p w14:paraId="71FBB0DB"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组长</w:t>
            </w:r>
          </w:p>
        </w:tc>
        <w:tc>
          <w:tcPr>
            <w:tcW w:w="3028" w:type="dxa"/>
            <w:vAlign w:val="center"/>
          </w:tcPr>
          <w:p w14:paraId="5FBCA849"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标准第一执笔人，标准修订总负责，审核相关技术，第3</w:t>
            </w:r>
            <w:r>
              <w:rPr>
                <w:rFonts w:asciiTheme="minorEastAsia" w:eastAsiaTheme="minorEastAsia" w:hAnsiTheme="minorEastAsia"/>
                <w:szCs w:val="21"/>
              </w:rPr>
              <w:t>-5</w:t>
            </w:r>
            <w:r>
              <w:rPr>
                <w:rFonts w:asciiTheme="minorEastAsia" w:eastAsiaTheme="minorEastAsia" w:hAnsiTheme="minorEastAsia" w:hint="eastAsia"/>
                <w:szCs w:val="21"/>
              </w:rPr>
              <w:t>章节的编写及相关技术论证。</w:t>
            </w:r>
          </w:p>
        </w:tc>
      </w:tr>
      <w:tr w:rsidR="005932EC" w14:paraId="4FB163B9" w14:textId="77777777">
        <w:tc>
          <w:tcPr>
            <w:tcW w:w="1130" w:type="dxa"/>
            <w:vAlign w:val="center"/>
          </w:tcPr>
          <w:p w14:paraId="5AFA55B3" w14:textId="77777777" w:rsidR="005932EC" w:rsidRDefault="00000000">
            <w:pPr>
              <w:spacing w:beforeLines="50" w:before="156" w:line="360" w:lineRule="auto"/>
              <w:jc w:val="center"/>
              <w:rPr>
                <w:rFonts w:ascii="宋体"/>
                <w:sz w:val="22"/>
                <w:szCs w:val="22"/>
              </w:rPr>
            </w:pPr>
            <w:r>
              <w:rPr>
                <w:rFonts w:ascii="宋体" w:hAnsi="宋体" w:cs="宋体" w:hint="eastAsia"/>
                <w:color w:val="000000"/>
                <w:sz w:val="22"/>
                <w:szCs w:val="22"/>
                <w:lang w:bidi="ar"/>
              </w:rPr>
              <w:t>沈一帆</w:t>
            </w:r>
          </w:p>
        </w:tc>
        <w:tc>
          <w:tcPr>
            <w:tcW w:w="1617" w:type="dxa"/>
            <w:vAlign w:val="center"/>
          </w:tcPr>
          <w:p w14:paraId="50B6A1B9" w14:textId="77777777" w:rsidR="005932EC" w:rsidRDefault="00000000">
            <w:pPr>
              <w:spacing w:beforeLines="50" w:before="156" w:line="360" w:lineRule="auto"/>
              <w:jc w:val="center"/>
              <w:rPr>
                <w:rFonts w:ascii="宋体" w:hAnsi="宋体" w:cs="宋体"/>
                <w:color w:val="000000"/>
                <w:kern w:val="0"/>
                <w:sz w:val="22"/>
                <w:szCs w:val="22"/>
                <w:lang w:bidi="ar"/>
              </w:rPr>
            </w:pPr>
            <w:r>
              <w:rPr>
                <w:rFonts w:ascii="宋体" w:hAnsi="宋体" w:cs="宋体" w:hint="eastAsia"/>
                <w:color w:val="000000"/>
                <w:sz w:val="22"/>
                <w:szCs w:val="22"/>
                <w:lang w:bidi="ar"/>
              </w:rPr>
              <w:t>上海海事大学</w:t>
            </w:r>
          </w:p>
        </w:tc>
        <w:tc>
          <w:tcPr>
            <w:tcW w:w="1359" w:type="dxa"/>
            <w:vAlign w:val="center"/>
          </w:tcPr>
          <w:p w14:paraId="09670D0D" w14:textId="77777777" w:rsidR="005932EC" w:rsidRDefault="00000000">
            <w:pPr>
              <w:spacing w:beforeLines="50" w:before="156" w:line="360" w:lineRule="auto"/>
              <w:jc w:val="center"/>
              <w:rPr>
                <w:rFonts w:asciiTheme="minorEastAsia" w:eastAsiaTheme="minorEastAsia" w:hAnsiTheme="minorEastAsia"/>
                <w:szCs w:val="21"/>
              </w:rPr>
            </w:pPr>
            <w:r>
              <w:rPr>
                <w:rFonts w:ascii="宋体" w:hAnsi="宋体" w:cs="宋体" w:hint="eastAsia"/>
                <w:color w:val="000000"/>
                <w:sz w:val="22"/>
                <w:szCs w:val="22"/>
                <w:lang w:bidi="ar"/>
              </w:rPr>
              <w:t>讲师</w:t>
            </w:r>
          </w:p>
        </w:tc>
        <w:tc>
          <w:tcPr>
            <w:tcW w:w="1134" w:type="dxa"/>
            <w:vAlign w:val="center"/>
          </w:tcPr>
          <w:p w14:paraId="516C7334"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3028" w:type="dxa"/>
            <w:vAlign w:val="center"/>
          </w:tcPr>
          <w:p w14:paraId="488C76AB"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第5</w:t>
            </w:r>
            <w:r>
              <w:rPr>
                <w:rFonts w:asciiTheme="minorEastAsia" w:eastAsiaTheme="minorEastAsia" w:hAnsiTheme="minorEastAsia"/>
                <w:szCs w:val="21"/>
              </w:rPr>
              <w:t>-6</w:t>
            </w:r>
            <w:r>
              <w:rPr>
                <w:rFonts w:asciiTheme="minorEastAsia" w:eastAsiaTheme="minorEastAsia" w:hAnsiTheme="minorEastAsia" w:hint="eastAsia"/>
                <w:szCs w:val="21"/>
              </w:rPr>
              <w:t>章节的编写及相关技术论证。</w:t>
            </w:r>
          </w:p>
        </w:tc>
      </w:tr>
      <w:tr w:rsidR="005932EC" w14:paraId="39156A97" w14:textId="77777777">
        <w:tc>
          <w:tcPr>
            <w:tcW w:w="1130" w:type="dxa"/>
            <w:vAlign w:val="center"/>
          </w:tcPr>
          <w:p w14:paraId="42245785" w14:textId="77777777" w:rsidR="005932EC" w:rsidRDefault="00000000">
            <w:pPr>
              <w:spacing w:beforeLines="50" w:before="156" w:line="360" w:lineRule="auto"/>
              <w:jc w:val="center"/>
              <w:rPr>
                <w:rFonts w:ascii="宋体"/>
                <w:sz w:val="22"/>
                <w:szCs w:val="22"/>
              </w:rPr>
            </w:pPr>
            <w:r>
              <w:rPr>
                <w:rFonts w:ascii="宋体" w:hint="eastAsia"/>
                <w:sz w:val="22"/>
                <w:szCs w:val="22"/>
              </w:rPr>
              <w:t>杜学强</w:t>
            </w:r>
          </w:p>
        </w:tc>
        <w:tc>
          <w:tcPr>
            <w:tcW w:w="1617" w:type="dxa"/>
            <w:vAlign w:val="center"/>
          </w:tcPr>
          <w:p w14:paraId="073E5B84" w14:textId="77777777" w:rsidR="005932EC" w:rsidRDefault="00000000">
            <w:pPr>
              <w:spacing w:beforeLines="50" w:before="156" w:line="360" w:lineRule="auto"/>
              <w:jc w:val="center"/>
              <w:rPr>
                <w:rFonts w:ascii="宋体" w:hAnsi="宋体" w:cs="宋体"/>
                <w:color w:val="000000"/>
                <w:kern w:val="0"/>
                <w:sz w:val="22"/>
                <w:szCs w:val="22"/>
                <w:lang w:bidi="ar"/>
              </w:rPr>
            </w:pPr>
            <w:r>
              <w:rPr>
                <w:rFonts w:ascii="宋体" w:hAnsi="宋体" w:cs="宋体" w:hint="eastAsia"/>
                <w:color w:val="000000"/>
                <w:sz w:val="22"/>
                <w:szCs w:val="22"/>
                <w:lang w:bidi="ar"/>
              </w:rPr>
              <w:t>上海海事大学</w:t>
            </w:r>
          </w:p>
        </w:tc>
        <w:tc>
          <w:tcPr>
            <w:tcW w:w="1359" w:type="dxa"/>
            <w:vAlign w:val="center"/>
          </w:tcPr>
          <w:p w14:paraId="7E499464" w14:textId="77777777" w:rsidR="005932EC" w:rsidRDefault="00000000">
            <w:pPr>
              <w:spacing w:beforeLines="50" w:before="156" w:line="360" w:lineRule="auto"/>
              <w:jc w:val="center"/>
              <w:rPr>
                <w:rFonts w:asciiTheme="minorEastAsia" w:eastAsiaTheme="minorEastAsia" w:hAnsiTheme="minorEastAsia"/>
                <w:szCs w:val="21"/>
              </w:rPr>
            </w:pPr>
            <w:r>
              <w:rPr>
                <w:rFonts w:ascii="宋体" w:hAnsi="宋体" w:cs="宋体" w:hint="eastAsia"/>
                <w:color w:val="000000"/>
                <w:sz w:val="22"/>
                <w:szCs w:val="22"/>
                <w:lang w:bidi="ar"/>
              </w:rPr>
              <w:t>博士</w:t>
            </w:r>
          </w:p>
        </w:tc>
        <w:tc>
          <w:tcPr>
            <w:tcW w:w="1134" w:type="dxa"/>
            <w:vAlign w:val="center"/>
          </w:tcPr>
          <w:p w14:paraId="67CEBE6E"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3028" w:type="dxa"/>
            <w:vAlign w:val="center"/>
          </w:tcPr>
          <w:p w14:paraId="016C76C7"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szCs w:val="21"/>
              </w:rPr>
              <w:t>6-7</w:t>
            </w:r>
            <w:r>
              <w:rPr>
                <w:rFonts w:asciiTheme="minorEastAsia" w:eastAsiaTheme="minorEastAsia" w:hAnsiTheme="minorEastAsia" w:hint="eastAsia"/>
                <w:szCs w:val="21"/>
              </w:rPr>
              <w:t>章节的编写及相关技术论证。</w:t>
            </w:r>
          </w:p>
        </w:tc>
      </w:tr>
      <w:tr w:rsidR="005932EC" w14:paraId="18FEA55A" w14:textId="77777777">
        <w:trPr>
          <w:trHeight w:val="1457"/>
        </w:trPr>
        <w:tc>
          <w:tcPr>
            <w:tcW w:w="1130" w:type="dxa"/>
            <w:vAlign w:val="center"/>
          </w:tcPr>
          <w:p w14:paraId="5FA7B6CD" w14:textId="77777777" w:rsidR="005932EC" w:rsidRDefault="00000000">
            <w:pPr>
              <w:spacing w:beforeLines="50" w:before="156" w:line="360" w:lineRule="auto"/>
              <w:jc w:val="center"/>
              <w:rPr>
                <w:rFonts w:asciiTheme="minorEastAsia" w:eastAsiaTheme="minorEastAsia" w:hAnsiTheme="minorEastAsia"/>
                <w:sz w:val="22"/>
                <w:szCs w:val="22"/>
              </w:rPr>
            </w:pPr>
            <w:r>
              <w:rPr>
                <w:rFonts w:ascii="宋体" w:hint="eastAsia"/>
                <w:sz w:val="22"/>
                <w:szCs w:val="22"/>
              </w:rPr>
              <w:lastRenderedPageBreak/>
              <w:t>俞文激</w:t>
            </w:r>
          </w:p>
        </w:tc>
        <w:tc>
          <w:tcPr>
            <w:tcW w:w="1617" w:type="dxa"/>
            <w:vAlign w:val="center"/>
          </w:tcPr>
          <w:p w14:paraId="401CBA21" w14:textId="77777777" w:rsidR="005932EC" w:rsidRDefault="00000000">
            <w:pPr>
              <w:spacing w:beforeLines="50" w:before="156" w:line="360" w:lineRule="auto"/>
              <w:jc w:val="center"/>
              <w:rPr>
                <w:rFonts w:asciiTheme="minorEastAsia" w:eastAsiaTheme="minorEastAsia" w:hAnsiTheme="minorEastAsia"/>
                <w:szCs w:val="21"/>
              </w:rPr>
            </w:pPr>
            <w:r>
              <w:rPr>
                <w:rFonts w:ascii="宋体" w:hAnsi="宋体" w:cs="宋体" w:hint="eastAsia"/>
                <w:color w:val="000000"/>
                <w:kern w:val="0"/>
                <w:sz w:val="22"/>
                <w:szCs w:val="22"/>
                <w:lang w:bidi="ar"/>
              </w:rPr>
              <w:t>上海港明东集装箱码头有限公司</w:t>
            </w:r>
          </w:p>
        </w:tc>
        <w:tc>
          <w:tcPr>
            <w:tcW w:w="1359" w:type="dxa"/>
            <w:vAlign w:val="center"/>
          </w:tcPr>
          <w:p w14:paraId="291D4DCB" w14:textId="77777777" w:rsidR="005932EC" w:rsidRDefault="00000000">
            <w:pPr>
              <w:spacing w:beforeLines="50" w:before="156" w:line="360" w:lineRule="auto"/>
              <w:ind w:firstLine="34"/>
              <w:jc w:val="center"/>
              <w:rPr>
                <w:rFonts w:asciiTheme="minorEastAsia" w:eastAsiaTheme="minorEastAsia" w:hAnsiTheme="minorEastAsia"/>
                <w:szCs w:val="21"/>
              </w:rPr>
            </w:pPr>
            <w:r>
              <w:rPr>
                <w:rFonts w:ascii="宋体" w:hAnsi="宋体" w:cs="宋体" w:hint="eastAsia"/>
                <w:color w:val="000000"/>
                <w:kern w:val="0"/>
                <w:sz w:val="22"/>
                <w:szCs w:val="22"/>
                <w:lang w:bidi="ar"/>
              </w:rPr>
              <w:t>高级经济师/总经理</w:t>
            </w:r>
          </w:p>
        </w:tc>
        <w:tc>
          <w:tcPr>
            <w:tcW w:w="1134" w:type="dxa"/>
            <w:vAlign w:val="center"/>
          </w:tcPr>
          <w:p w14:paraId="643E3B5C"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3028" w:type="dxa"/>
            <w:vAlign w:val="center"/>
          </w:tcPr>
          <w:p w14:paraId="427837BA"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标准全文修辞与英文审核。</w:t>
            </w:r>
          </w:p>
        </w:tc>
      </w:tr>
      <w:tr w:rsidR="005932EC" w14:paraId="528A1774" w14:textId="77777777">
        <w:tc>
          <w:tcPr>
            <w:tcW w:w="1130" w:type="dxa"/>
            <w:vAlign w:val="center"/>
          </w:tcPr>
          <w:p w14:paraId="7C1A2BCF" w14:textId="77777777" w:rsidR="005932EC" w:rsidRDefault="00000000">
            <w:pPr>
              <w:spacing w:beforeLines="50" w:before="156" w:line="360" w:lineRule="auto"/>
              <w:jc w:val="center"/>
              <w:rPr>
                <w:rFonts w:asciiTheme="minorEastAsia" w:eastAsiaTheme="minorEastAsia" w:hAnsiTheme="minorEastAsia"/>
                <w:sz w:val="22"/>
                <w:szCs w:val="22"/>
              </w:rPr>
            </w:pPr>
            <w:r>
              <w:rPr>
                <w:rFonts w:ascii="宋体" w:hint="eastAsia"/>
                <w:sz w:val="22"/>
                <w:szCs w:val="22"/>
              </w:rPr>
              <w:t>黄海叡</w:t>
            </w:r>
          </w:p>
        </w:tc>
        <w:tc>
          <w:tcPr>
            <w:tcW w:w="1617" w:type="dxa"/>
            <w:vAlign w:val="center"/>
          </w:tcPr>
          <w:p w14:paraId="130F944C" w14:textId="77777777" w:rsidR="005932EC" w:rsidRDefault="00000000">
            <w:pPr>
              <w:spacing w:beforeLines="50" w:before="156" w:line="360" w:lineRule="auto"/>
              <w:jc w:val="center"/>
              <w:rPr>
                <w:rFonts w:asciiTheme="minorEastAsia" w:eastAsiaTheme="minorEastAsia" w:hAnsiTheme="minorEastAsia"/>
                <w:szCs w:val="21"/>
              </w:rPr>
            </w:pPr>
            <w:r>
              <w:rPr>
                <w:rFonts w:ascii="宋体" w:hAnsi="宋体" w:cs="宋体" w:hint="eastAsia"/>
                <w:color w:val="000000"/>
                <w:kern w:val="0"/>
                <w:sz w:val="22"/>
                <w:szCs w:val="22"/>
                <w:lang w:bidi="ar"/>
              </w:rPr>
              <w:t>上海港明东集装箱码头有限公司</w:t>
            </w:r>
          </w:p>
        </w:tc>
        <w:tc>
          <w:tcPr>
            <w:tcW w:w="1359" w:type="dxa"/>
            <w:vAlign w:val="center"/>
          </w:tcPr>
          <w:p w14:paraId="57B8D0E5" w14:textId="77777777" w:rsidR="005932EC" w:rsidRDefault="00000000">
            <w:pPr>
              <w:spacing w:beforeLines="50" w:before="156" w:line="360" w:lineRule="auto"/>
              <w:jc w:val="center"/>
              <w:rPr>
                <w:rFonts w:asciiTheme="minorEastAsia" w:eastAsiaTheme="minorEastAsia" w:hAnsiTheme="minorEastAsia"/>
                <w:szCs w:val="21"/>
              </w:rPr>
            </w:pPr>
            <w:r>
              <w:rPr>
                <w:rFonts w:ascii="宋体" w:hAnsi="宋体" w:cs="宋体" w:hint="eastAsia"/>
                <w:color w:val="000000"/>
                <w:kern w:val="0"/>
                <w:sz w:val="22"/>
                <w:szCs w:val="22"/>
                <w:lang w:bidi="ar"/>
              </w:rPr>
              <w:t>营运操作部经理</w:t>
            </w:r>
          </w:p>
        </w:tc>
        <w:tc>
          <w:tcPr>
            <w:tcW w:w="1134" w:type="dxa"/>
            <w:vAlign w:val="center"/>
          </w:tcPr>
          <w:p w14:paraId="6832BE40"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3028" w:type="dxa"/>
            <w:vAlign w:val="center"/>
          </w:tcPr>
          <w:p w14:paraId="7DB98E03"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第1</w:t>
            </w:r>
            <w:r>
              <w:rPr>
                <w:rFonts w:asciiTheme="minorEastAsia" w:eastAsiaTheme="minorEastAsia" w:hAnsiTheme="minorEastAsia"/>
                <w:szCs w:val="21"/>
              </w:rPr>
              <w:t>-2</w:t>
            </w:r>
            <w:r>
              <w:rPr>
                <w:rFonts w:asciiTheme="minorEastAsia" w:eastAsiaTheme="minorEastAsia" w:hAnsiTheme="minorEastAsia" w:hint="eastAsia"/>
                <w:szCs w:val="21"/>
              </w:rPr>
              <w:t>章节的编写及相关技术论证。</w:t>
            </w:r>
          </w:p>
        </w:tc>
      </w:tr>
      <w:tr w:rsidR="005932EC" w14:paraId="5923BDC3" w14:textId="77777777">
        <w:tc>
          <w:tcPr>
            <w:tcW w:w="1130" w:type="dxa"/>
            <w:vAlign w:val="center"/>
          </w:tcPr>
          <w:p w14:paraId="16B29B7A" w14:textId="77777777" w:rsidR="005932EC" w:rsidRDefault="00000000">
            <w:pPr>
              <w:spacing w:beforeLines="50" w:before="156" w:line="360" w:lineRule="auto"/>
              <w:jc w:val="center"/>
              <w:rPr>
                <w:rFonts w:asciiTheme="minorEastAsia" w:eastAsiaTheme="minorEastAsia" w:hAnsiTheme="minorEastAsia"/>
                <w:sz w:val="22"/>
                <w:szCs w:val="22"/>
              </w:rPr>
            </w:pPr>
            <w:r>
              <w:rPr>
                <w:rFonts w:ascii="宋体" w:hint="eastAsia"/>
                <w:sz w:val="22"/>
                <w:szCs w:val="22"/>
              </w:rPr>
              <w:t>贺华骏</w:t>
            </w:r>
          </w:p>
        </w:tc>
        <w:tc>
          <w:tcPr>
            <w:tcW w:w="1617" w:type="dxa"/>
            <w:vAlign w:val="center"/>
          </w:tcPr>
          <w:p w14:paraId="5D036518" w14:textId="77777777" w:rsidR="005932EC" w:rsidRDefault="00000000">
            <w:pPr>
              <w:spacing w:beforeLines="50" w:before="156" w:line="360" w:lineRule="auto"/>
              <w:jc w:val="center"/>
              <w:rPr>
                <w:rFonts w:asciiTheme="minorEastAsia" w:eastAsiaTheme="minorEastAsia" w:hAnsiTheme="minorEastAsia"/>
                <w:szCs w:val="21"/>
              </w:rPr>
            </w:pPr>
            <w:r>
              <w:rPr>
                <w:rFonts w:ascii="宋体" w:hAnsi="宋体" w:cs="宋体" w:hint="eastAsia"/>
                <w:color w:val="000000"/>
                <w:kern w:val="0"/>
                <w:sz w:val="22"/>
                <w:szCs w:val="22"/>
                <w:lang w:bidi="ar"/>
              </w:rPr>
              <w:t>上海港明东集装箱码头有限公司</w:t>
            </w:r>
          </w:p>
        </w:tc>
        <w:tc>
          <w:tcPr>
            <w:tcW w:w="1359" w:type="dxa"/>
            <w:vAlign w:val="center"/>
          </w:tcPr>
          <w:p w14:paraId="664A3863" w14:textId="77777777" w:rsidR="005932EC" w:rsidRDefault="00000000">
            <w:pPr>
              <w:spacing w:beforeLines="50" w:before="156" w:line="360" w:lineRule="auto"/>
              <w:jc w:val="center"/>
              <w:rPr>
                <w:rFonts w:asciiTheme="minorEastAsia" w:eastAsiaTheme="minorEastAsia" w:hAnsiTheme="minorEastAsia"/>
                <w:szCs w:val="21"/>
              </w:rPr>
            </w:pPr>
            <w:r>
              <w:rPr>
                <w:rFonts w:ascii="宋体" w:hAnsi="宋体" w:cs="宋体" w:hint="eastAsia"/>
                <w:color w:val="000000"/>
                <w:kern w:val="0"/>
                <w:sz w:val="22"/>
                <w:szCs w:val="22"/>
                <w:lang w:bidi="ar"/>
              </w:rPr>
              <w:t>客户服务经理</w:t>
            </w:r>
          </w:p>
        </w:tc>
        <w:tc>
          <w:tcPr>
            <w:tcW w:w="1134" w:type="dxa"/>
            <w:vAlign w:val="center"/>
          </w:tcPr>
          <w:p w14:paraId="486212AB"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3028" w:type="dxa"/>
            <w:vAlign w:val="center"/>
          </w:tcPr>
          <w:p w14:paraId="757308C1"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第3章节的编写及相关技术论证。</w:t>
            </w:r>
          </w:p>
        </w:tc>
      </w:tr>
      <w:tr w:rsidR="005932EC" w14:paraId="30502B7A" w14:textId="77777777">
        <w:tc>
          <w:tcPr>
            <w:tcW w:w="1130" w:type="dxa"/>
            <w:vAlign w:val="center"/>
          </w:tcPr>
          <w:p w14:paraId="4B33C02D" w14:textId="77777777" w:rsidR="005932EC" w:rsidRDefault="00000000">
            <w:pPr>
              <w:spacing w:beforeLines="50" w:before="156" w:line="360" w:lineRule="auto"/>
              <w:jc w:val="center"/>
              <w:rPr>
                <w:rFonts w:asciiTheme="minorEastAsia" w:eastAsiaTheme="minorEastAsia" w:hAnsiTheme="minorEastAsia"/>
                <w:sz w:val="22"/>
                <w:szCs w:val="22"/>
              </w:rPr>
            </w:pPr>
            <w:r>
              <w:rPr>
                <w:rFonts w:ascii="宋体" w:hint="eastAsia"/>
                <w:sz w:val="22"/>
                <w:szCs w:val="22"/>
              </w:rPr>
              <w:t>蒋源</w:t>
            </w:r>
          </w:p>
        </w:tc>
        <w:tc>
          <w:tcPr>
            <w:tcW w:w="1617" w:type="dxa"/>
            <w:vAlign w:val="center"/>
          </w:tcPr>
          <w:p w14:paraId="1B604C20" w14:textId="77777777" w:rsidR="005932EC" w:rsidRDefault="00000000">
            <w:pPr>
              <w:spacing w:beforeLines="50" w:before="156" w:line="360" w:lineRule="auto"/>
              <w:jc w:val="center"/>
              <w:rPr>
                <w:rFonts w:asciiTheme="minorEastAsia" w:eastAsiaTheme="minorEastAsia" w:hAnsiTheme="minorEastAsia"/>
                <w:szCs w:val="21"/>
              </w:rPr>
            </w:pPr>
            <w:r>
              <w:rPr>
                <w:rFonts w:ascii="宋体" w:hAnsi="宋体" w:cs="宋体" w:hint="eastAsia"/>
                <w:color w:val="000000"/>
                <w:kern w:val="0"/>
                <w:sz w:val="22"/>
                <w:szCs w:val="22"/>
                <w:lang w:bidi="ar"/>
              </w:rPr>
              <w:t>上海港明东集装箱码头有限公司</w:t>
            </w:r>
          </w:p>
        </w:tc>
        <w:tc>
          <w:tcPr>
            <w:tcW w:w="1359" w:type="dxa"/>
            <w:vAlign w:val="center"/>
          </w:tcPr>
          <w:p w14:paraId="58552FEE" w14:textId="77777777" w:rsidR="005932EC" w:rsidRDefault="00000000">
            <w:pPr>
              <w:spacing w:beforeLines="50" w:before="156" w:line="360" w:lineRule="auto"/>
              <w:jc w:val="center"/>
              <w:rPr>
                <w:rFonts w:asciiTheme="minorEastAsia" w:eastAsiaTheme="minorEastAsia" w:hAnsiTheme="minorEastAsia"/>
                <w:szCs w:val="21"/>
              </w:rPr>
            </w:pPr>
            <w:r>
              <w:rPr>
                <w:rFonts w:ascii="宋体" w:hAnsi="宋体" w:cs="宋体" w:hint="eastAsia"/>
                <w:color w:val="000000"/>
                <w:kern w:val="0"/>
                <w:sz w:val="22"/>
                <w:szCs w:val="22"/>
                <w:lang w:bidi="ar"/>
              </w:rPr>
              <w:t>控制员</w:t>
            </w:r>
          </w:p>
        </w:tc>
        <w:tc>
          <w:tcPr>
            <w:tcW w:w="1134" w:type="dxa"/>
            <w:vAlign w:val="center"/>
          </w:tcPr>
          <w:p w14:paraId="571CA22A"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3028" w:type="dxa"/>
            <w:vAlign w:val="center"/>
          </w:tcPr>
          <w:p w14:paraId="008603E5"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文献资料检索、编写的调研</w:t>
            </w:r>
          </w:p>
        </w:tc>
      </w:tr>
      <w:tr w:rsidR="005932EC" w14:paraId="571B0F12" w14:textId="77777777">
        <w:tc>
          <w:tcPr>
            <w:tcW w:w="1130" w:type="dxa"/>
            <w:vAlign w:val="center"/>
          </w:tcPr>
          <w:p w14:paraId="740DD627" w14:textId="77777777" w:rsidR="005932EC" w:rsidRDefault="00000000">
            <w:pPr>
              <w:spacing w:beforeLines="50" w:before="156" w:line="36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杨振</w:t>
            </w:r>
          </w:p>
        </w:tc>
        <w:tc>
          <w:tcPr>
            <w:tcW w:w="1617" w:type="dxa"/>
            <w:vAlign w:val="center"/>
          </w:tcPr>
          <w:p w14:paraId="51DD801E" w14:textId="77777777" w:rsidR="005932EC" w:rsidRDefault="00000000">
            <w:pPr>
              <w:spacing w:beforeLines="50" w:before="156" w:line="360" w:lineRule="auto"/>
              <w:jc w:val="center"/>
              <w:rPr>
                <w:rFonts w:asciiTheme="minorEastAsia" w:eastAsiaTheme="minorEastAsia" w:hAnsiTheme="minorEastAsia"/>
                <w:szCs w:val="21"/>
              </w:rPr>
            </w:pPr>
            <w:r>
              <w:rPr>
                <w:rFonts w:ascii="宋体" w:hAnsi="宋体" w:cs="宋体" w:hint="eastAsia"/>
                <w:color w:val="000000"/>
                <w:sz w:val="22"/>
                <w:szCs w:val="22"/>
                <w:lang w:bidi="ar"/>
              </w:rPr>
              <w:t>上海慧铠科技有限公司</w:t>
            </w:r>
          </w:p>
        </w:tc>
        <w:tc>
          <w:tcPr>
            <w:tcW w:w="1359" w:type="dxa"/>
            <w:vAlign w:val="center"/>
          </w:tcPr>
          <w:p w14:paraId="3988D2BE"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博士</w:t>
            </w:r>
          </w:p>
        </w:tc>
        <w:tc>
          <w:tcPr>
            <w:tcW w:w="1134" w:type="dxa"/>
            <w:vAlign w:val="center"/>
          </w:tcPr>
          <w:p w14:paraId="5109A6AD"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3028" w:type="dxa"/>
            <w:vAlign w:val="center"/>
          </w:tcPr>
          <w:p w14:paraId="7A4C2B03" w14:textId="77777777" w:rsidR="005932EC"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标准架构编写及相关技术论证。</w:t>
            </w:r>
          </w:p>
        </w:tc>
      </w:tr>
    </w:tbl>
    <w:p w14:paraId="5E94F30D" w14:textId="77777777" w:rsidR="005932EC" w:rsidRDefault="005932EC">
      <w:pPr>
        <w:spacing w:beforeLines="50" w:before="156" w:line="360" w:lineRule="auto"/>
        <w:rPr>
          <w:rFonts w:ascii="黑体" w:eastAsia="黑体" w:hAnsi="黑体"/>
          <w:sz w:val="24"/>
          <w:szCs w:val="24"/>
        </w:rPr>
      </w:pPr>
    </w:p>
    <w:p w14:paraId="133D337C" w14:textId="77777777" w:rsidR="005932EC" w:rsidRDefault="00000000">
      <w:pPr>
        <w:spacing w:beforeLines="50" w:before="156" w:line="360" w:lineRule="auto"/>
        <w:rPr>
          <w:rFonts w:asciiTheme="minorEastAsia" w:eastAsiaTheme="minorEastAsia" w:hAnsiTheme="minorEastAsia"/>
          <w:b/>
          <w:sz w:val="24"/>
          <w:szCs w:val="24"/>
        </w:rPr>
      </w:pPr>
      <w:bookmarkStart w:id="7" w:name="_Toc483660124"/>
      <w:bookmarkStart w:id="8" w:name="_Toc26972783"/>
      <w:r>
        <w:rPr>
          <w:rFonts w:asciiTheme="minorEastAsia" w:eastAsiaTheme="minorEastAsia" w:hAnsiTheme="minorEastAsia" w:hint="eastAsia"/>
          <w:b/>
          <w:sz w:val="24"/>
          <w:szCs w:val="24"/>
        </w:rPr>
        <w:t>（四）主要工作</w:t>
      </w:r>
      <w:r>
        <w:rPr>
          <w:rFonts w:asciiTheme="minorEastAsia" w:eastAsiaTheme="minorEastAsia" w:hAnsiTheme="minorEastAsia"/>
          <w:b/>
          <w:sz w:val="24"/>
          <w:szCs w:val="24"/>
        </w:rPr>
        <w:t>过</w:t>
      </w:r>
      <w:r>
        <w:rPr>
          <w:rFonts w:asciiTheme="minorEastAsia" w:eastAsiaTheme="minorEastAsia" w:hAnsiTheme="minorEastAsia" w:hint="eastAsia"/>
          <w:b/>
          <w:sz w:val="24"/>
          <w:szCs w:val="24"/>
        </w:rPr>
        <w:t>程</w:t>
      </w:r>
      <w:bookmarkEnd w:id="7"/>
      <w:bookmarkEnd w:id="8"/>
    </w:p>
    <w:p w14:paraId="2DECD5E5"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cs="宋体" w:hint="eastAsia"/>
          <w:color w:val="000000"/>
          <w:sz w:val="24"/>
          <w:szCs w:val="24"/>
          <w:lang w:val="zh-CN"/>
        </w:rPr>
        <w:t>20</w:t>
      </w:r>
      <w:r>
        <w:rPr>
          <w:rFonts w:asciiTheme="minorEastAsia" w:eastAsiaTheme="minorEastAsia" w:hAnsiTheme="minorEastAsia" w:cs="宋体"/>
          <w:color w:val="000000"/>
          <w:sz w:val="24"/>
          <w:szCs w:val="24"/>
          <w:lang w:val="zh-CN"/>
        </w:rPr>
        <w:t>23</w:t>
      </w:r>
      <w:r>
        <w:rPr>
          <w:rFonts w:asciiTheme="minorEastAsia" w:eastAsiaTheme="minorEastAsia" w:hAnsiTheme="minorEastAsia" w:cs="宋体" w:hint="eastAsia"/>
          <w:color w:val="000000"/>
          <w:sz w:val="24"/>
          <w:szCs w:val="24"/>
          <w:lang w:val="zh-CN"/>
        </w:rPr>
        <w:t>年根据《</w:t>
      </w:r>
      <w:r>
        <w:rPr>
          <w:rFonts w:asciiTheme="minorEastAsia" w:eastAsiaTheme="minorEastAsia" w:hAnsiTheme="minorEastAsia" w:cs="宋体" w:hint="eastAsia"/>
          <w:color w:val="FF0000"/>
          <w:sz w:val="24"/>
          <w:szCs w:val="24"/>
          <w:lang w:val="zh-CN"/>
        </w:rPr>
        <w:t>XXX计划的通知</w:t>
      </w:r>
      <w:r>
        <w:rPr>
          <w:rFonts w:asciiTheme="minorEastAsia" w:eastAsiaTheme="minorEastAsia" w:hAnsiTheme="minorEastAsia" w:cs="宋体" w:hint="eastAsia"/>
          <w:color w:val="000000"/>
          <w:sz w:val="24"/>
          <w:szCs w:val="24"/>
          <w:lang w:val="zh-CN"/>
        </w:rPr>
        <w:t>》</w:t>
      </w:r>
      <w:r>
        <w:rPr>
          <w:rFonts w:asciiTheme="minorEastAsia" w:eastAsiaTheme="minorEastAsia" w:hAnsiTheme="minorEastAsia" w:hint="eastAsia"/>
          <w:sz w:val="24"/>
          <w:szCs w:val="24"/>
        </w:rPr>
        <w:t>，项目承担单位根据计划要求，成立编制组，明确了标准编写任务分工和时间进度安排，组织开展标准制定工作：</w:t>
      </w:r>
    </w:p>
    <w:p w14:paraId="71D66E5B" w14:textId="77777777" w:rsidR="005932EC" w:rsidRDefault="00000000">
      <w:pPr>
        <w:spacing w:beforeLines="50" w:before="156"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2023</w:t>
      </w:r>
      <w:r>
        <w:rPr>
          <w:rFonts w:asciiTheme="minorEastAsia" w:eastAsiaTheme="minorEastAsia" w:hAnsiTheme="minorEastAsia" w:hint="eastAsia"/>
          <w:sz w:val="24"/>
          <w:szCs w:val="24"/>
        </w:rPr>
        <w:t>年1</w:t>
      </w:r>
      <w:r>
        <w:rPr>
          <w:rFonts w:asciiTheme="minorEastAsia" w:eastAsiaTheme="minorEastAsia" w:hAnsiTheme="minorEastAsia"/>
          <w:sz w:val="24"/>
          <w:szCs w:val="24"/>
        </w:rPr>
        <w:t>2</w:t>
      </w:r>
      <w:r>
        <w:rPr>
          <w:rFonts w:asciiTheme="minorEastAsia" w:eastAsiaTheme="minorEastAsia" w:hAnsiTheme="minorEastAsia" w:hint="eastAsia"/>
          <w:sz w:val="24"/>
          <w:szCs w:val="24"/>
        </w:rPr>
        <w:t>月～2</w:t>
      </w:r>
      <w:r>
        <w:rPr>
          <w:rFonts w:asciiTheme="minorEastAsia" w:eastAsiaTheme="minorEastAsia" w:hAnsiTheme="minorEastAsia"/>
          <w:sz w:val="24"/>
          <w:szCs w:val="24"/>
        </w:rPr>
        <w:t>024</w:t>
      </w:r>
      <w:r>
        <w:rPr>
          <w:rFonts w:asciiTheme="minorEastAsia" w:eastAsiaTheme="minorEastAsia" w:hAnsiTheme="minorEastAsia" w:hint="eastAsia"/>
          <w:sz w:val="24"/>
          <w:szCs w:val="24"/>
        </w:rPr>
        <w:t>年5</w:t>
      </w:r>
      <w:r>
        <w:rPr>
          <w:rFonts w:asciiTheme="minorEastAsia" w:eastAsiaTheme="minorEastAsia" w:hAnsiTheme="minorEastAsia"/>
          <w:sz w:val="24"/>
          <w:szCs w:val="24"/>
        </w:rPr>
        <w:t>月</w:t>
      </w:r>
      <w:r>
        <w:rPr>
          <w:rFonts w:asciiTheme="minorEastAsia" w:eastAsiaTheme="minorEastAsia" w:hAnsiTheme="minorEastAsia" w:hint="eastAsia"/>
          <w:sz w:val="24"/>
          <w:szCs w:val="24"/>
        </w:rPr>
        <w:t>，调研了包括上海国际港务（集团）股份有限公司、宁波舟山港股份有限公司、天津港（集团）有限公司、青岛港自动化集装箱码头、厦门远海集装箱码头有限公司以及深圳港、南京港等正在推行智能配载的码头企业和科研院所等相关生产单位，初步了解智能配载系统与集装箱码头生产运营系统，了解集装箱码头智能配载数据交互接口技术要求，对智能配载数据交互的功能、一般要求、数据格式和内容以及异常处理等问题进行总结归纳，编制标准制定研究大纲。</w:t>
      </w:r>
    </w:p>
    <w:p w14:paraId="4A5493CA" w14:textId="77777777" w:rsidR="005932EC" w:rsidRDefault="00000000">
      <w:pPr>
        <w:spacing w:beforeLines="50" w:before="156"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2、20</w:t>
      </w:r>
      <w:r>
        <w:rPr>
          <w:rFonts w:asciiTheme="minorEastAsia" w:eastAsiaTheme="minorEastAsia" w:hAnsiTheme="minorEastAsia"/>
          <w:sz w:val="24"/>
          <w:szCs w:val="24"/>
        </w:rPr>
        <w:t>24</w:t>
      </w:r>
      <w:r>
        <w:rPr>
          <w:rFonts w:asciiTheme="minorEastAsia" w:eastAsiaTheme="minorEastAsia" w:hAnsiTheme="minorEastAsia" w:hint="eastAsia"/>
          <w:sz w:val="24"/>
          <w:szCs w:val="24"/>
        </w:rPr>
        <w:t>年</w:t>
      </w:r>
      <w:r>
        <w:rPr>
          <w:rFonts w:asciiTheme="minorEastAsia" w:eastAsiaTheme="minorEastAsia" w:hAnsiTheme="minorEastAsia"/>
          <w:sz w:val="24"/>
          <w:szCs w:val="24"/>
        </w:rPr>
        <w:t>6</w:t>
      </w:r>
      <w:r>
        <w:rPr>
          <w:rFonts w:asciiTheme="minorEastAsia" w:eastAsiaTheme="minorEastAsia" w:hAnsiTheme="minorEastAsia" w:hint="eastAsia"/>
          <w:sz w:val="24"/>
          <w:szCs w:val="24"/>
        </w:rPr>
        <w:t>月，根据GB/T</w:t>
      </w:r>
      <w:r>
        <w:rPr>
          <w:rFonts w:asciiTheme="minorEastAsia" w:eastAsiaTheme="minorEastAsia" w:hAnsiTheme="minorEastAsia"/>
          <w:sz w:val="24"/>
          <w:szCs w:val="24"/>
        </w:rPr>
        <w:t xml:space="preserve"> 1.1</w:t>
      </w:r>
      <w:r>
        <w:rPr>
          <w:rFonts w:asciiTheme="minorEastAsia" w:eastAsiaTheme="minorEastAsia" w:hAnsiTheme="minorEastAsia" w:hint="eastAsia"/>
          <w:sz w:val="24"/>
          <w:szCs w:val="24"/>
        </w:rPr>
        <w:t>-</w:t>
      </w:r>
      <w:r>
        <w:rPr>
          <w:rFonts w:asciiTheme="minorEastAsia" w:eastAsiaTheme="minorEastAsia" w:hAnsiTheme="minorEastAsia"/>
          <w:sz w:val="24"/>
          <w:szCs w:val="24"/>
        </w:rPr>
        <w:t>2020</w:t>
      </w:r>
      <w:r>
        <w:rPr>
          <w:rFonts w:asciiTheme="minorEastAsia" w:eastAsiaTheme="minorEastAsia" w:hAnsiTheme="minorEastAsia" w:hint="eastAsia"/>
          <w:sz w:val="24"/>
          <w:szCs w:val="24"/>
        </w:rPr>
        <w:t>给出的规则，初步编写了《集装箱码头智能配载数据交互接口技术要求》标准草案，召开标准制定研究大纲评审会，提交研究大纲和标准草案。根据大纲评审意见对研究大纲进行修改。</w:t>
      </w:r>
    </w:p>
    <w:p w14:paraId="5D55E733" w14:textId="77777777" w:rsidR="005932EC" w:rsidRDefault="00000000">
      <w:pPr>
        <w:spacing w:beforeLines="50" w:before="156"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3、20</w:t>
      </w:r>
      <w:r>
        <w:rPr>
          <w:rFonts w:asciiTheme="minorEastAsia" w:eastAsiaTheme="minorEastAsia" w:hAnsiTheme="minorEastAsia"/>
          <w:sz w:val="24"/>
          <w:szCs w:val="24"/>
        </w:rPr>
        <w:t>24</w:t>
      </w:r>
      <w:r>
        <w:rPr>
          <w:rFonts w:asciiTheme="minorEastAsia" w:eastAsiaTheme="minorEastAsia" w:hAnsiTheme="minorEastAsia" w:hint="eastAsia"/>
          <w:sz w:val="24"/>
          <w:szCs w:val="24"/>
        </w:rPr>
        <w:t>年</w:t>
      </w:r>
      <w:r>
        <w:rPr>
          <w:rFonts w:asciiTheme="minorEastAsia" w:eastAsiaTheme="minorEastAsia" w:hAnsiTheme="minorEastAsia"/>
          <w:sz w:val="24"/>
          <w:szCs w:val="24"/>
        </w:rPr>
        <w:t>7</w:t>
      </w:r>
      <w:r>
        <w:rPr>
          <w:rFonts w:asciiTheme="minorEastAsia" w:eastAsiaTheme="minorEastAsia" w:hAnsiTheme="minorEastAsia" w:hint="eastAsia"/>
          <w:sz w:val="24"/>
          <w:szCs w:val="24"/>
        </w:rPr>
        <w:t>月，在标准草案的基础上进行了修改，并对修改后的标准草案不妥之处提出修正意见。</w:t>
      </w:r>
    </w:p>
    <w:p w14:paraId="439386E3" w14:textId="77777777" w:rsidR="005932EC" w:rsidRDefault="00000000">
      <w:pPr>
        <w:spacing w:beforeLines="50" w:before="156"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4、20</w:t>
      </w:r>
      <w:r>
        <w:rPr>
          <w:rFonts w:asciiTheme="minorEastAsia" w:eastAsiaTheme="minorEastAsia" w:hAnsiTheme="minorEastAsia"/>
          <w:sz w:val="24"/>
          <w:szCs w:val="24"/>
        </w:rPr>
        <w:t>24</w:t>
      </w:r>
      <w:r>
        <w:rPr>
          <w:rFonts w:asciiTheme="minorEastAsia" w:eastAsiaTheme="minorEastAsia" w:hAnsiTheme="minorEastAsia" w:hint="eastAsia"/>
          <w:sz w:val="24"/>
          <w:szCs w:val="24"/>
        </w:rPr>
        <w:t>年</w:t>
      </w:r>
      <w:r>
        <w:rPr>
          <w:rFonts w:asciiTheme="minorEastAsia" w:eastAsiaTheme="minorEastAsia" w:hAnsiTheme="minorEastAsia"/>
          <w:sz w:val="24"/>
          <w:szCs w:val="24"/>
        </w:rPr>
        <w:t>7</w:t>
      </w:r>
      <w:r>
        <w:rPr>
          <w:rFonts w:asciiTheme="minorEastAsia" w:eastAsiaTheme="minorEastAsia" w:hAnsiTheme="minorEastAsia" w:hint="eastAsia"/>
          <w:sz w:val="24"/>
          <w:szCs w:val="24"/>
        </w:rPr>
        <w:t>月～</w:t>
      </w:r>
      <w:r>
        <w:rPr>
          <w:rFonts w:asciiTheme="minorEastAsia" w:eastAsiaTheme="minorEastAsia" w:hAnsiTheme="minorEastAsia"/>
          <w:sz w:val="24"/>
          <w:szCs w:val="24"/>
        </w:rPr>
        <w:t>2024</w:t>
      </w:r>
      <w:r>
        <w:rPr>
          <w:rFonts w:asciiTheme="minorEastAsia" w:eastAsiaTheme="minorEastAsia" w:hAnsiTheme="minorEastAsia" w:hint="eastAsia"/>
          <w:sz w:val="24"/>
          <w:szCs w:val="24"/>
        </w:rPr>
        <w:t>年</w:t>
      </w:r>
      <w:r>
        <w:rPr>
          <w:rFonts w:asciiTheme="minorEastAsia" w:eastAsiaTheme="minorEastAsia" w:hAnsiTheme="minorEastAsia"/>
          <w:sz w:val="24"/>
          <w:szCs w:val="24"/>
        </w:rPr>
        <w:t>8</w:t>
      </w:r>
      <w:r>
        <w:rPr>
          <w:rFonts w:asciiTheme="minorEastAsia" w:eastAsiaTheme="minorEastAsia" w:hAnsiTheme="minorEastAsia" w:hint="eastAsia"/>
          <w:sz w:val="24"/>
          <w:szCs w:val="24"/>
        </w:rPr>
        <w:t>月，在标准草案的基础上，编写组反复讨论修改，完成了征求意见稿（初稿）。</w:t>
      </w:r>
    </w:p>
    <w:p w14:paraId="64DDA699" w14:textId="77777777" w:rsidR="005932EC" w:rsidRDefault="00000000">
      <w:pPr>
        <w:spacing w:beforeLines="50" w:before="156" w:line="360" w:lineRule="auto"/>
        <w:outlineLvl w:val="0"/>
        <w:rPr>
          <w:rFonts w:ascii="黑体" w:eastAsia="黑体" w:hAnsi="黑体"/>
          <w:szCs w:val="21"/>
        </w:rPr>
      </w:pPr>
      <w:bookmarkStart w:id="9" w:name="_Toc46098151"/>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标准编制原则和确定标准主要内容</w:t>
      </w:r>
      <w:r>
        <w:rPr>
          <w:rFonts w:asciiTheme="minorEastAsia" w:eastAsiaTheme="minorEastAsia" w:hAnsiTheme="minorEastAsia" w:hint="eastAsia"/>
          <w:b/>
          <w:sz w:val="24"/>
          <w:szCs w:val="24"/>
        </w:rPr>
        <w:t>的论据</w:t>
      </w:r>
      <w:bookmarkEnd w:id="9"/>
    </w:p>
    <w:p w14:paraId="264D2A54" w14:textId="77777777" w:rsidR="005932EC" w:rsidRDefault="00000000">
      <w:pPr>
        <w:spacing w:beforeLines="50" w:before="156" w:line="360" w:lineRule="auto"/>
        <w:rPr>
          <w:rFonts w:asciiTheme="minorEastAsia" w:eastAsiaTheme="minorEastAsia" w:hAnsiTheme="minorEastAsia"/>
          <w:b/>
          <w:sz w:val="24"/>
          <w:szCs w:val="24"/>
        </w:rPr>
      </w:pPr>
      <w:bookmarkStart w:id="10" w:name="_Toc26972785"/>
      <w:r>
        <w:rPr>
          <w:rFonts w:asciiTheme="minorEastAsia" w:eastAsiaTheme="minorEastAsia" w:hAnsiTheme="minorEastAsia" w:hint="eastAsia"/>
          <w:b/>
          <w:sz w:val="24"/>
          <w:szCs w:val="24"/>
        </w:rPr>
        <w:t>（一）</w:t>
      </w:r>
      <w:r>
        <w:rPr>
          <w:rFonts w:asciiTheme="minorEastAsia" w:eastAsiaTheme="minorEastAsia" w:hAnsiTheme="minorEastAsia"/>
          <w:b/>
          <w:sz w:val="24"/>
          <w:szCs w:val="24"/>
        </w:rPr>
        <w:t>标准编制原则</w:t>
      </w:r>
      <w:bookmarkEnd w:id="10"/>
    </w:p>
    <w:p w14:paraId="795D9DD2"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本标准按GB/T 1.1-</w:t>
      </w:r>
      <w:r>
        <w:rPr>
          <w:rFonts w:asciiTheme="minorEastAsia" w:eastAsiaTheme="minorEastAsia" w:hAnsiTheme="minorEastAsia"/>
          <w:sz w:val="24"/>
          <w:szCs w:val="24"/>
        </w:rPr>
        <w:t>2020</w:t>
      </w:r>
      <w:r>
        <w:rPr>
          <w:rFonts w:asciiTheme="minorEastAsia" w:eastAsiaTheme="minorEastAsia" w:hAnsiTheme="minorEastAsia" w:hint="eastAsia"/>
          <w:sz w:val="24"/>
          <w:szCs w:val="24"/>
        </w:rPr>
        <w:t>给出的规则起草。</w:t>
      </w:r>
    </w:p>
    <w:p w14:paraId="3C7F88E4"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（1）符合性原则。本标准应符合GB/T1.1-2020规定的编写规则；系统安全性应满足GB/T 38674信息安全技术应用软件安全编程指南以及GB/T 39680信息安全技术服务器安全技术要求和测评准则的规定。</w:t>
      </w:r>
    </w:p>
    <w:p w14:paraId="03B366FA"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协调性原则。标准编写应参考相关行业内标准，如集集装箱码头操作系统技术要求，自动化集装箱码头操作系统技术要求、海上国际集装箱货物交付单证等。标准编写以上述标准内容作为参考，与行业发展协调一致。</w:t>
      </w:r>
    </w:p>
    <w:p w14:paraId="148237A0"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（3）适用性原则。本标准中的接口相关技术要求应符合GA/T1293的规定；数据交互接口技术要求各项功能的可靠性及可维护性应符合GBT1439</w:t>
      </w:r>
      <w:r>
        <w:rPr>
          <w:rFonts w:asciiTheme="minorEastAsia" w:eastAsiaTheme="minorEastAsia" w:hAnsiTheme="minorEastAsia"/>
          <w:sz w:val="24"/>
          <w:szCs w:val="24"/>
        </w:rPr>
        <w:t>4</w:t>
      </w:r>
      <w:r>
        <w:rPr>
          <w:rFonts w:asciiTheme="minorEastAsia" w:eastAsiaTheme="minorEastAsia" w:hAnsiTheme="minorEastAsia" w:hint="eastAsia"/>
          <w:sz w:val="24"/>
          <w:szCs w:val="24"/>
        </w:rPr>
        <w:t>的规定。</w:t>
      </w:r>
    </w:p>
    <w:p w14:paraId="24AB85A5"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技术先进性原则。研究问题是未来集装箱码头智能化转型进一步发展关注点。相关研究建立在已有实践经验基础之上。并且已对国内外同行开展充分调研，了解国内外关于自动化集装箱码头计算任务调度技术的最新动态。为促进智能配载标准化，研究集装箱码头智能配载数据交互接口过程的若干技术问题，形成集装箱码头智能配载数据交互接口的交互功能、一般要求、接口数据内容与格式、接口异常处理等相关规范。</w:t>
      </w:r>
    </w:p>
    <w:p w14:paraId="514F04E3" w14:textId="77777777" w:rsidR="005932EC" w:rsidRDefault="00000000">
      <w:pPr>
        <w:spacing w:beforeLines="50" w:before="156" w:line="360" w:lineRule="auto"/>
        <w:rPr>
          <w:rFonts w:asciiTheme="minorEastAsia" w:eastAsiaTheme="minorEastAsia" w:hAnsiTheme="minorEastAsia"/>
          <w:b/>
          <w:sz w:val="24"/>
          <w:szCs w:val="24"/>
        </w:rPr>
      </w:pPr>
      <w:bookmarkStart w:id="11" w:name="_Toc26972786"/>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确定标准主要内容</w:t>
      </w:r>
      <w:r>
        <w:rPr>
          <w:rFonts w:asciiTheme="minorEastAsia" w:eastAsiaTheme="minorEastAsia" w:hAnsiTheme="minorEastAsia" w:hint="eastAsia"/>
          <w:b/>
          <w:sz w:val="24"/>
          <w:szCs w:val="24"/>
        </w:rPr>
        <w:t>的论据</w:t>
      </w:r>
      <w:bookmarkEnd w:id="11"/>
    </w:p>
    <w:p w14:paraId="33EAF124"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本标准规定了集装箱码头智能配载数据交互接口的交互功能、一般要求、接口数据内容与格式、接口异常处理等技术要求。</w:t>
      </w:r>
    </w:p>
    <w:p w14:paraId="55FC61E9"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本标准适用于集装箱码头智能配载数据交互接口的开发、应用和维护。</w:t>
      </w:r>
    </w:p>
    <w:p w14:paraId="2262CEF1"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本标准主要内容：第一章</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范围；第二章 规范性引用文件；第三章 术语和定义；第四章 交互功能；第五章 一般要求；第六章 接口数据内容与格式；第七章 接口异常处理。</w:t>
      </w:r>
    </w:p>
    <w:p w14:paraId="43A9C30D"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本标准编制的内容包括如下：</w:t>
      </w:r>
    </w:p>
    <w:p w14:paraId="62AC98D8" w14:textId="77777777" w:rsidR="005932EC"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1</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第一章  范围</w:t>
      </w:r>
    </w:p>
    <w:p w14:paraId="6A9EDF72"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本标准规定了集装箱码头智能配载数据交互的功能、一般要求、接口数据内容与格式、接口异常处理等。本标准适用于集装箱码头智能配载数据交互接口的开发、应用和维护。</w:t>
      </w:r>
    </w:p>
    <w:p w14:paraId="033D2293"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论据：本标准的范围基于标准编写的主要目的进行界定。</w:t>
      </w:r>
    </w:p>
    <w:p w14:paraId="5B64206A" w14:textId="77777777" w:rsidR="005932EC"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 xml:space="preserve">第二章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规范性引用文件</w:t>
      </w:r>
    </w:p>
    <w:p w14:paraId="2B3C797F"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本标准引用了如下标准：</w:t>
      </w:r>
    </w:p>
    <w:p w14:paraId="57AE718B"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GB/T 1836 集装箱代码、识别和标记</w:t>
      </w:r>
    </w:p>
    <w:p w14:paraId="5A46B364"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GB/T 1992  集装箱名词术语</w:t>
      </w:r>
    </w:p>
    <w:p w14:paraId="655CF19F"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GB/T 7408  数据元和交换格式 信息交换 日期和时间表示法</w:t>
      </w:r>
    </w:p>
    <w:p w14:paraId="39AE48FD"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GB/T 9813.3 计算机通用规范 第3部分：服务器</w:t>
      </w:r>
    </w:p>
    <w:p w14:paraId="6E32DEC9"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GB/T 12268 危险货物品名表</w:t>
      </w:r>
    </w:p>
    <w:p w14:paraId="3099ACCC"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GB/T 17271 集装箱运输术语</w:t>
      </w:r>
    </w:p>
    <w:p w14:paraId="1286D79E"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GB/T 18156 海上国际集装箱货物交付单证</w:t>
      </w:r>
    </w:p>
    <w:p w14:paraId="5A0A8324"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GB/T 22239 信息安全技术网络安全等级保护基本要求</w:t>
      </w:r>
    </w:p>
    <w:p w14:paraId="6055E580"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GB/T 38674 信息安全技术 应用软件安全编程指南</w:t>
      </w:r>
    </w:p>
    <w:p w14:paraId="7EBCAE49"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GB/T 39680 信息安全技术 服务器安全技术要求和测评准则</w:t>
      </w:r>
    </w:p>
    <w:p w14:paraId="77D27F24"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论据：引用上述这些标准，其中一些标准涉及术语的引用，一些标准涉及平台服务器、网络的安全要求等。</w:t>
      </w:r>
    </w:p>
    <w:p w14:paraId="61648D00" w14:textId="77777777" w:rsidR="005932EC" w:rsidRDefault="00000000">
      <w:pPr>
        <w:spacing w:beforeLines="50" w:before="156" w:line="360" w:lineRule="auto"/>
        <w:rPr>
          <w:rFonts w:asciiTheme="minorEastAsia" w:eastAsiaTheme="minorEastAsia" w:hAnsiTheme="minorEastAsia"/>
          <w:b/>
          <w:color w:val="000000" w:themeColor="text1"/>
          <w:sz w:val="24"/>
          <w:szCs w:val="24"/>
        </w:rPr>
      </w:pPr>
      <w:r>
        <w:rPr>
          <w:rFonts w:asciiTheme="minorEastAsia" w:eastAsiaTheme="minorEastAsia" w:hAnsiTheme="minorEastAsia"/>
          <w:b/>
          <w:color w:val="000000" w:themeColor="text1"/>
          <w:sz w:val="24"/>
          <w:szCs w:val="24"/>
        </w:rPr>
        <w:t>3</w:t>
      </w:r>
      <w:r>
        <w:rPr>
          <w:rFonts w:asciiTheme="minorEastAsia" w:eastAsiaTheme="minorEastAsia" w:hAnsiTheme="minorEastAsia" w:hint="eastAsia"/>
          <w:b/>
          <w:color w:val="000000" w:themeColor="text1"/>
          <w:sz w:val="24"/>
          <w:szCs w:val="24"/>
        </w:rPr>
        <w:t>.</w:t>
      </w:r>
      <w:r>
        <w:rPr>
          <w:rFonts w:asciiTheme="minorEastAsia" w:eastAsiaTheme="minorEastAsia" w:hAnsiTheme="minorEastAsia" w:hint="eastAsia"/>
          <w:b/>
          <w:sz w:val="24"/>
          <w:szCs w:val="24"/>
        </w:rPr>
        <w:t>第三章</w:t>
      </w:r>
      <w:r>
        <w:rPr>
          <w:rFonts w:asciiTheme="minorEastAsia" w:eastAsiaTheme="minorEastAsia" w:hAnsiTheme="minorEastAsia" w:hint="eastAsia"/>
          <w:b/>
          <w:color w:val="000000" w:themeColor="text1"/>
          <w:sz w:val="24"/>
          <w:szCs w:val="24"/>
        </w:rPr>
        <w:t xml:space="preserve">  术语和定义</w:t>
      </w:r>
    </w:p>
    <w:p w14:paraId="20D3EBE8" w14:textId="77777777" w:rsidR="005932EC" w:rsidRDefault="00000000">
      <w:pPr>
        <w:spacing w:beforeLines="50" w:before="156" w:line="360" w:lineRule="auto"/>
        <w:ind w:firstLine="420"/>
        <w:rPr>
          <w:rFonts w:asciiTheme="minorEastAsia" w:eastAsiaTheme="minorEastAsia" w:hAnsiTheme="minorEastAsia"/>
          <w:color w:val="000000" w:themeColor="text1"/>
          <w:sz w:val="24"/>
          <w:szCs w:val="24"/>
        </w:rPr>
      </w:pPr>
      <w:r>
        <w:rPr>
          <w:rFonts w:ascii="宋体" w:hAnsi="宋体"/>
          <w:sz w:val="24"/>
        </w:rPr>
        <w:t>3.1</w:t>
      </w:r>
      <w:r>
        <w:rPr>
          <w:rFonts w:ascii="宋体" w:hAnsi="宋体" w:hint="eastAsia"/>
          <w:sz w:val="24"/>
        </w:rPr>
        <w:t>～</w:t>
      </w:r>
      <w:r>
        <w:rPr>
          <w:rFonts w:ascii="宋体" w:hAnsi="宋体"/>
          <w:sz w:val="24"/>
        </w:rPr>
        <w:t>3.3</w:t>
      </w:r>
      <w:r>
        <w:rPr>
          <w:rFonts w:asciiTheme="minorEastAsia" w:eastAsiaTheme="minorEastAsia" w:hAnsiTheme="minorEastAsia" w:hint="eastAsia"/>
          <w:color w:val="000000" w:themeColor="text1"/>
          <w:sz w:val="24"/>
          <w:szCs w:val="24"/>
        </w:rPr>
        <w:t>根据系统调研，多次专家讨论分别明确“智能配载”、 智能配载系统”、 智能配载数据交互接口”的定义。</w:t>
      </w:r>
    </w:p>
    <w:p w14:paraId="2748B590" w14:textId="77777777" w:rsidR="005932EC"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b/>
          <w:sz w:val="24"/>
          <w:szCs w:val="24"/>
        </w:rPr>
        <w:t>4</w:t>
      </w:r>
      <w:r>
        <w:rPr>
          <w:rFonts w:asciiTheme="minorEastAsia" w:eastAsiaTheme="minorEastAsia" w:hAnsiTheme="minorEastAsia" w:hint="eastAsia"/>
          <w:b/>
          <w:sz w:val="24"/>
          <w:szCs w:val="24"/>
        </w:rPr>
        <w:t xml:space="preserve">.第四章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交互功能</w:t>
      </w:r>
    </w:p>
    <w:p w14:paraId="2A342C1E" w14:textId="77777777" w:rsidR="005932EC" w:rsidRDefault="00000000">
      <w:pPr>
        <w:pStyle w:val="af5"/>
        <w:spacing w:line="360" w:lineRule="auto"/>
        <w:ind w:firstLineChars="198" w:firstLine="475"/>
        <w:rPr>
          <w:rFonts w:ascii="宋体" w:hAnsi="宋体"/>
          <w:sz w:val="24"/>
        </w:rPr>
      </w:pPr>
      <w:r>
        <w:rPr>
          <w:rFonts w:ascii="宋体" w:hAnsi="宋体" w:hint="eastAsia"/>
          <w:sz w:val="24"/>
        </w:rPr>
        <w:t>经多次调研与研讨，明确</w:t>
      </w:r>
      <w:r>
        <w:rPr>
          <w:rFonts w:asciiTheme="minorEastAsia" w:eastAsiaTheme="minorEastAsia" w:hAnsiTheme="minorEastAsia" w:hint="eastAsia"/>
          <w:color w:val="000000" w:themeColor="text1"/>
          <w:sz w:val="24"/>
          <w:szCs w:val="24"/>
        </w:rPr>
        <w:t>集装箱码头智能配载数据交互接口</w:t>
      </w:r>
      <w:r>
        <w:rPr>
          <w:rFonts w:ascii="宋体" w:hAnsi="宋体" w:hint="eastAsia"/>
          <w:sz w:val="24"/>
        </w:rPr>
        <w:t>主要职责是完成智能配载系统与集装箱码头操作系统间的数据交互。以此为出发点总结归纳</w:t>
      </w:r>
      <w:r>
        <w:rPr>
          <w:rFonts w:asciiTheme="minorEastAsia" w:eastAsiaTheme="minorEastAsia" w:hAnsiTheme="minorEastAsia" w:hint="eastAsia"/>
          <w:color w:val="000000" w:themeColor="text1"/>
          <w:sz w:val="24"/>
          <w:szCs w:val="24"/>
        </w:rPr>
        <w:t>集装箱码头智能配载数据交互接口</w:t>
      </w:r>
      <w:r>
        <w:rPr>
          <w:rFonts w:ascii="宋体" w:hAnsi="宋体" w:hint="eastAsia"/>
          <w:sz w:val="24"/>
        </w:rPr>
        <w:t>的主要功能。</w:t>
      </w:r>
    </w:p>
    <w:p w14:paraId="430014C9" w14:textId="77777777" w:rsidR="005932EC"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b/>
          <w:sz w:val="24"/>
          <w:szCs w:val="24"/>
        </w:rPr>
        <w:t>5</w:t>
      </w:r>
      <w:r>
        <w:rPr>
          <w:rFonts w:asciiTheme="minorEastAsia" w:eastAsiaTheme="minorEastAsia" w:hAnsiTheme="minorEastAsia" w:hint="eastAsia"/>
          <w:b/>
          <w:sz w:val="24"/>
          <w:szCs w:val="24"/>
        </w:rPr>
        <w:t>.第五章</w:t>
      </w:r>
      <w:r>
        <w:rPr>
          <w:rFonts w:asciiTheme="minorEastAsia" w:eastAsiaTheme="minorEastAsia" w:hAnsiTheme="minorEastAsia" w:hint="eastAsia"/>
          <w:b/>
          <w:color w:val="000000" w:themeColor="text1"/>
          <w:sz w:val="24"/>
          <w:szCs w:val="24"/>
        </w:rPr>
        <w:t xml:space="preserve"> </w:t>
      </w:r>
      <w:r>
        <w:rPr>
          <w:rFonts w:asciiTheme="minorEastAsia" w:eastAsiaTheme="minorEastAsia" w:hAnsiTheme="minorEastAsia"/>
          <w:b/>
          <w:color w:val="000000" w:themeColor="text1"/>
          <w:sz w:val="24"/>
          <w:szCs w:val="24"/>
        </w:rPr>
        <w:t xml:space="preserve"> </w:t>
      </w:r>
      <w:r>
        <w:rPr>
          <w:rFonts w:asciiTheme="minorEastAsia" w:eastAsiaTheme="minorEastAsia" w:hAnsiTheme="minorEastAsia" w:hint="eastAsia"/>
          <w:b/>
          <w:color w:val="000000" w:themeColor="text1"/>
          <w:sz w:val="24"/>
          <w:szCs w:val="24"/>
        </w:rPr>
        <w:t>一般要求</w:t>
      </w:r>
    </w:p>
    <w:p w14:paraId="17104755" w14:textId="77777777" w:rsidR="005932EC" w:rsidRDefault="00000000">
      <w:pPr>
        <w:spacing w:beforeLines="50" w:before="156" w:line="360" w:lineRule="auto"/>
        <w:ind w:firstLine="420"/>
        <w:rPr>
          <w:rFonts w:ascii="宋体" w:hAnsi="宋体"/>
          <w:sz w:val="24"/>
        </w:rPr>
      </w:pPr>
      <w:r>
        <w:rPr>
          <w:rFonts w:ascii="宋体" w:hAnsi="宋体" w:hint="eastAsia"/>
          <w:sz w:val="24"/>
        </w:rPr>
        <w:t>该章主要规定了集装箱码头</w:t>
      </w:r>
      <w:r>
        <w:rPr>
          <w:rFonts w:asciiTheme="minorEastAsia" w:eastAsiaTheme="minorEastAsia" w:hAnsiTheme="minorEastAsia" w:hint="eastAsia"/>
          <w:sz w:val="24"/>
          <w:szCs w:val="24"/>
        </w:rPr>
        <w:t>智能配载数据交互接口</w:t>
      </w:r>
      <w:r>
        <w:rPr>
          <w:rFonts w:ascii="宋体" w:hAnsi="宋体" w:hint="eastAsia"/>
          <w:sz w:val="24"/>
        </w:rPr>
        <w:t>运行的具有共性的基本要求，主要从服务器需求，安全需求、网络传输等方面进行规定。</w:t>
      </w:r>
    </w:p>
    <w:p w14:paraId="2635FC7D" w14:textId="77777777" w:rsidR="005932EC" w:rsidRDefault="00000000">
      <w:pPr>
        <w:spacing w:beforeLines="50" w:before="156" w:line="360" w:lineRule="auto"/>
        <w:ind w:firstLine="420"/>
        <w:rPr>
          <w:rFonts w:ascii="宋体" w:hAnsi="宋体"/>
          <w:sz w:val="24"/>
        </w:rPr>
      </w:pPr>
      <w:r>
        <w:rPr>
          <w:rFonts w:ascii="宋体" w:hAnsi="宋体" w:hint="eastAsia"/>
          <w:sz w:val="24"/>
        </w:rPr>
        <w:t>依据：考虑集装箱码头需7×24ｈ稳定运行，要求系统及服务器的各项功能可靠性应符合GB/T 9818.3以及GB/T 25000.51的相关规定。与集装箱码头生产运作相关的系统，一旦遭到攻击会产生严重的影响，因此系统实现应至少满足GB/T 39680 《信息安全技术 服务器安全技术要求和测评准则》、GB/T 38674 《信息安全技术 应用软件安全编程指南》与</w:t>
      </w:r>
      <w:r>
        <w:rPr>
          <w:rFonts w:ascii="宋体" w:hAnsi="宋体"/>
          <w:sz w:val="24"/>
        </w:rPr>
        <w:t>GB/T 22239</w:t>
      </w:r>
      <w:r>
        <w:rPr>
          <w:rFonts w:ascii="宋体" w:hAnsi="宋体" w:hint="eastAsia"/>
          <w:sz w:val="24"/>
        </w:rPr>
        <w:t>《信息安全技术—网络安全等级保护基本要求》的相关规定。综合考虑配载任务调度实时性、稳定性以及计算资源的可维护性，对系统接入的网络通讯环境提出相关要求。</w:t>
      </w:r>
    </w:p>
    <w:p w14:paraId="7597CF82" w14:textId="77777777" w:rsidR="005932EC"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b/>
          <w:sz w:val="24"/>
          <w:szCs w:val="24"/>
        </w:rPr>
        <w:t>6</w:t>
      </w:r>
      <w:r>
        <w:rPr>
          <w:rFonts w:asciiTheme="minorEastAsia" w:eastAsiaTheme="minorEastAsia" w:hAnsiTheme="minorEastAsia" w:hint="eastAsia"/>
          <w:b/>
          <w:sz w:val="24"/>
          <w:szCs w:val="24"/>
        </w:rPr>
        <w:t>.第六章</w:t>
      </w:r>
      <w:r>
        <w:rPr>
          <w:rFonts w:asciiTheme="minorEastAsia" w:eastAsiaTheme="minorEastAsia" w:hAnsiTheme="minorEastAsia" w:hint="eastAsia"/>
          <w:b/>
          <w:color w:val="000000" w:themeColor="text1"/>
          <w:sz w:val="24"/>
          <w:szCs w:val="24"/>
        </w:rPr>
        <w:t xml:space="preserve"> </w:t>
      </w:r>
      <w:r>
        <w:rPr>
          <w:rFonts w:asciiTheme="minorEastAsia" w:eastAsiaTheme="minorEastAsia" w:hAnsiTheme="minorEastAsia"/>
          <w:b/>
          <w:color w:val="000000" w:themeColor="text1"/>
          <w:sz w:val="24"/>
          <w:szCs w:val="24"/>
        </w:rPr>
        <w:t xml:space="preserve"> </w:t>
      </w:r>
      <w:r>
        <w:rPr>
          <w:rFonts w:asciiTheme="minorEastAsia" w:eastAsiaTheme="minorEastAsia" w:hAnsiTheme="minorEastAsia" w:hint="eastAsia"/>
          <w:b/>
          <w:sz w:val="24"/>
          <w:szCs w:val="24"/>
        </w:rPr>
        <w:t>接口数据内容与格式</w:t>
      </w:r>
    </w:p>
    <w:p w14:paraId="5C00A73C" w14:textId="77777777" w:rsidR="005932EC" w:rsidRDefault="00000000">
      <w:pPr>
        <w:spacing w:beforeLines="50" w:before="156"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6.1</w:t>
      </w:r>
      <w:r>
        <w:rPr>
          <w:rFonts w:asciiTheme="minorEastAsia" w:eastAsiaTheme="minorEastAsia" w:hAnsiTheme="minorEastAsia" w:hint="eastAsia"/>
          <w:color w:val="000000" w:themeColor="text1"/>
          <w:sz w:val="24"/>
          <w:szCs w:val="24"/>
        </w:rPr>
        <w:t>主要规定船舶信息接口数据内容与格式。</w:t>
      </w:r>
    </w:p>
    <w:p w14:paraId="50369667" w14:textId="77777777" w:rsidR="005932EC" w:rsidRDefault="00000000">
      <w:pPr>
        <w:spacing w:beforeLines="50" w:before="156"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6.2</w:t>
      </w:r>
      <w:r>
        <w:rPr>
          <w:rFonts w:asciiTheme="minorEastAsia" w:eastAsiaTheme="minorEastAsia" w:hAnsiTheme="minorEastAsia" w:hint="eastAsia"/>
          <w:color w:val="000000" w:themeColor="text1"/>
          <w:sz w:val="24"/>
          <w:szCs w:val="24"/>
        </w:rPr>
        <w:t>主要规定集装箱信息接口数据内容与格式。</w:t>
      </w:r>
    </w:p>
    <w:p w14:paraId="31A53D72" w14:textId="77777777" w:rsidR="005932EC" w:rsidRDefault="00000000">
      <w:pPr>
        <w:spacing w:beforeLines="50" w:before="156"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6.3</w:t>
      </w:r>
      <w:r>
        <w:rPr>
          <w:rFonts w:asciiTheme="minorEastAsia" w:eastAsiaTheme="minorEastAsia" w:hAnsiTheme="minorEastAsia" w:hint="eastAsia"/>
          <w:color w:val="000000" w:themeColor="text1"/>
          <w:sz w:val="24"/>
          <w:szCs w:val="24"/>
        </w:rPr>
        <w:t>主要规定预配信息接口数据内容与格式。</w:t>
      </w:r>
    </w:p>
    <w:p w14:paraId="5F4AE8E9" w14:textId="77777777" w:rsidR="005932EC" w:rsidRDefault="00000000">
      <w:pPr>
        <w:spacing w:beforeLines="50" w:before="156"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6.4</w:t>
      </w:r>
      <w:r>
        <w:rPr>
          <w:rFonts w:asciiTheme="minorEastAsia" w:eastAsiaTheme="minorEastAsia" w:hAnsiTheme="minorEastAsia" w:hint="eastAsia"/>
          <w:color w:val="000000" w:themeColor="text1"/>
          <w:sz w:val="24"/>
          <w:szCs w:val="24"/>
        </w:rPr>
        <w:t>主要规定配载接口接口数据内容与格式。</w:t>
      </w:r>
    </w:p>
    <w:p w14:paraId="0A08BD62" w14:textId="77777777" w:rsidR="005932EC"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b/>
          <w:sz w:val="24"/>
          <w:szCs w:val="24"/>
        </w:rPr>
        <w:lastRenderedPageBreak/>
        <w:t>7</w:t>
      </w:r>
      <w:r>
        <w:rPr>
          <w:rFonts w:asciiTheme="minorEastAsia" w:eastAsiaTheme="minorEastAsia" w:hAnsiTheme="minorEastAsia" w:hint="eastAsia"/>
          <w:b/>
          <w:sz w:val="24"/>
          <w:szCs w:val="24"/>
        </w:rPr>
        <w:t>.第七章</w:t>
      </w:r>
      <w:r>
        <w:rPr>
          <w:rFonts w:asciiTheme="minorEastAsia" w:eastAsiaTheme="minorEastAsia" w:hAnsiTheme="minorEastAsia" w:hint="eastAsia"/>
          <w:b/>
          <w:color w:val="000000" w:themeColor="text1"/>
          <w:sz w:val="24"/>
          <w:szCs w:val="24"/>
        </w:rPr>
        <w:t xml:space="preserve"> </w:t>
      </w:r>
      <w:r>
        <w:rPr>
          <w:rFonts w:asciiTheme="minorEastAsia" w:eastAsiaTheme="minorEastAsia" w:hAnsiTheme="minorEastAsia"/>
          <w:b/>
          <w:color w:val="000000" w:themeColor="text1"/>
          <w:sz w:val="24"/>
          <w:szCs w:val="24"/>
        </w:rPr>
        <w:t xml:space="preserve"> </w:t>
      </w:r>
      <w:r>
        <w:rPr>
          <w:rFonts w:asciiTheme="minorEastAsia" w:eastAsiaTheme="minorEastAsia" w:hAnsiTheme="minorEastAsia" w:hint="eastAsia"/>
          <w:b/>
          <w:color w:val="000000" w:themeColor="text1"/>
          <w:sz w:val="24"/>
          <w:szCs w:val="24"/>
        </w:rPr>
        <w:t>接口</w:t>
      </w:r>
      <w:r>
        <w:rPr>
          <w:rFonts w:asciiTheme="minorEastAsia" w:eastAsiaTheme="minorEastAsia" w:hAnsiTheme="minorEastAsia" w:hint="eastAsia"/>
          <w:b/>
          <w:sz w:val="24"/>
          <w:szCs w:val="24"/>
        </w:rPr>
        <w:t>异常处理</w:t>
      </w:r>
    </w:p>
    <w:p w14:paraId="5B14A8E2" w14:textId="77777777" w:rsidR="005932EC"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该部分主要规定数据交互过程中常见异常情况代码，并明确异常处理机制。</w:t>
      </w:r>
    </w:p>
    <w:p w14:paraId="098210BC" w14:textId="77777777" w:rsidR="005932EC" w:rsidRDefault="00000000">
      <w:pPr>
        <w:spacing w:beforeLines="50" w:before="156" w:line="360" w:lineRule="auto"/>
        <w:outlineLvl w:val="0"/>
        <w:rPr>
          <w:rFonts w:asciiTheme="minorEastAsia" w:eastAsiaTheme="minorEastAsia" w:hAnsiTheme="minorEastAsia"/>
          <w:b/>
          <w:sz w:val="24"/>
          <w:szCs w:val="24"/>
        </w:rPr>
      </w:pPr>
      <w:bookmarkStart w:id="12" w:name="_Toc46098152"/>
      <w:r>
        <w:rPr>
          <w:rFonts w:asciiTheme="minorEastAsia" w:eastAsiaTheme="minorEastAsia" w:hAnsiTheme="minorEastAsia" w:hint="eastAsia"/>
          <w:b/>
          <w:sz w:val="24"/>
          <w:szCs w:val="24"/>
        </w:rPr>
        <w:t>三、主</w:t>
      </w:r>
      <w:r>
        <w:rPr>
          <w:rFonts w:asciiTheme="minorEastAsia" w:eastAsiaTheme="minorEastAsia" w:hAnsiTheme="minorEastAsia"/>
          <w:b/>
          <w:sz w:val="24"/>
          <w:szCs w:val="24"/>
        </w:rPr>
        <w:t>要试验（或验证）的分析、综述报告，技术经济论证，预期的经济效果</w:t>
      </w:r>
      <w:bookmarkEnd w:id="12"/>
    </w:p>
    <w:p w14:paraId="5DC8AF3F" w14:textId="77777777" w:rsidR="005932EC"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随着港口行业的不断发展，越来越多的国内外的开发商都在研发智能配载系统，因此制定标准有助于形成共同的技术语言和规范，推动整个港口行业朝着智能配载系统的统一标准迈进，从而促进行业的协同发展。此外标准化将减少市场上各异的智能配载系统，提高市场透明度，使港口企业更容易选择适合自身需求的解决方案。</w:t>
      </w:r>
    </w:p>
    <w:p w14:paraId="76F7F181" w14:textId="77777777" w:rsidR="005932EC"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总之，本标准的制定，并随标准的宣贯，定会取得一定的经济效益和社会效益。</w:t>
      </w:r>
    </w:p>
    <w:p w14:paraId="20F8D81A" w14:textId="77777777" w:rsidR="005932EC" w:rsidRDefault="00000000">
      <w:pPr>
        <w:spacing w:beforeLines="50" w:before="156" w:line="360" w:lineRule="auto"/>
        <w:outlineLvl w:val="0"/>
        <w:rPr>
          <w:rFonts w:asciiTheme="minorEastAsia" w:eastAsiaTheme="minorEastAsia" w:hAnsiTheme="minorEastAsia"/>
          <w:b/>
          <w:sz w:val="24"/>
          <w:szCs w:val="24"/>
        </w:rPr>
      </w:pPr>
      <w:bookmarkStart w:id="13" w:name="_Toc46098153"/>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采用国际标准和国外先进标准的程度，以及与国际、国外同类标准水平的对比情况，或与测试的国外样品、样机的有关数据对比情况</w:t>
      </w:r>
      <w:bookmarkEnd w:id="13"/>
    </w:p>
    <w:p w14:paraId="05872934" w14:textId="77777777" w:rsidR="005932EC" w:rsidRDefault="00000000">
      <w:pPr>
        <w:spacing w:beforeLines="50" w:before="156"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目前国际上尚无集装箱码头智能配载数据交互接口技术要求的相关标准。</w:t>
      </w:r>
    </w:p>
    <w:p w14:paraId="2D445582" w14:textId="77777777" w:rsidR="005932EC" w:rsidRDefault="00000000">
      <w:pPr>
        <w:spacing w:beforeLines="50" w:before="156" w:line="360" w:lineRule="auto"/>
        <w:outlineLvl w:val="0"/>
        <w:rPr>
          <w:rFonts w:asciiTheme="minorEastAsia" w:eastAsiaTheme="minorEastAsia" w:hAnsiTheme="minorEastAsia"/>
          <w:b/>
          <w:sz w:val="24"/>
          <w:szCs w:val="24"/>
        </w:rPr>
      </w:pPr>
      <w:bookmarkStart w:id="14" w:name="_Toc46098154"/>
      <w:r>
        <w:rPr>
          <w:rFonts w:asciiTheme="minorEastAsia" w:eastAsiaTheme="minorEastAsia" w:hAnsiTheme="minorEastAsia" w:hint="eastAsia"/>
          <w:b/>
          <w:sz w:val="24"/>
          <w:szCs w:val="24"/>
        </w:rPr>
        <w:t>五、</w:t>
      </w:r>
      <w:r>
        <w:rPr>
          <w:rFonts w:asciiTheme="minorEastAsia" w:eastAsiaTheme="minorEastAsia" w:hAnsiTheme="minorEastAsia"/>
          <w:b/>
          <w:sz w:val="24"/>
          <w:szCs w:val="24"/>
        </w:rPr>
        <w:t>与有关的现行法律、法规和强制性标准的关系</w:t>
      </w:r>
      <w:bookmarkEnd w:id="14"/>
    </w:p>
    <w:p w14:paraId="319116BF" w14:textId="77777777" w:rsidR="005932EC" w:rsidRDefault="00000000">
      <w:pPr>
        <w:spacing w:beforeLines="50" w:before="156" w:line="360" w:lineRule="auto"/>
        <w:ind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本标准引用了GB/T 1836 集装箱代码、识别和标记，其中术语和定义与本标准保持一致。</w:t>
      </w:r>
    </w:p>
    <w:p w14:paraId="262271E8" w14:textId="77777777" w:rsidR="005932EC" w:rsidRDefault="00000000">
      <w:pPr>
        <w:spacing w:beforeLines="50" w:before="156"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本标准引用了GB 21028《信息安全技术 服务器安全技术要求》、GB/T 22239《信息安全技术 网络安全等级保护基本要求》，是为了体现集装箱码头智能配载数据交互接口作为一个数据交互接口应具备的性能及安全要求。</w:t>
      </w:r>
    </w:p>
    <w:p w14:paraId="1278A6ED" w14:textId="77777777" w:rsidR="005932EC" w:rsidRDefault="005932EC">
      <w:pPr>
        <w:spacing w:beforeLines="50" w:before="156" w:line="360" w:lineRule="auto"/>
        <w:jc w:val="left"/>
        <w:rPr>
          <w:rFonts w:asciiTheme="minorEastAsia" w:eastAsiaTheme="minorEastAsia" w:hAnsiTheme="minorEastAsia"/>
          <w:sz w:val="24"/>
          <w:szCs w:val="24"/>
        </w:rPr>
      </w:pPr>
    </w:p>
    <w:p w14:paraId="39A89D2D" w14:textId="77777777" w:rsidR="005932EC" w:rsidRDefault="00000000">
      <w:pPr>
        <w:spacing w:beforeLines="50" w:before="156" w:line="360" w:lineRule="auto"/>
        <w:outlineLvl w:val="0"/>
        <w:rPr>
          <w:rFonts w:asciiTheme="minorEastAsia" w:eastAsiaTheme="minorEastAsia" w:hAnsiTheme="minorEastAsia"/>
          <w:b/>
          <w:sz w:val="24"/>
          <w:szCs w:val="24"/>
        </w:rPr>
      </w:pPr>
      <w:bookmarkStart w:id="15" w:name="_Toc46098155"/>
      <w:r>
        <w:rPr>
          <w:rFonts w:asciiTheme="minorEastAsia" w:eastAsiaTheme="minorEastAsia" w:hAnsiTheme="minorEastAsia" w:hint="eastAsia"/>
          <w:b/>
          <w:sz w:val="24"/>
          <w:szCs w:val="24"/>
        </w:rPr>
        <w:t>六、</w:t>
      </w:r>
      <w:r>
        <w:rPr>
          <w:rFonts w:asciiTheme="minorEastAsia" w:eastAsiaTheme="minorEastAsia" w:hAnsiTheme="minorEastAsia"/>
          <w:b/>
          <w:sz w:val="24"/>
          <w:szCs w:val="24"/>
        </w:rPr>
        <w:t>重大分歧意见的处理经过和依据</w:t>
      </w:r>
      <w:bookmarkEnd w:id="15"/>
    </w:p>
    <w:p w14:paraId="14A2A157" w14:textId="77777777" w:rsidR="005932EC" w:rsidRDefault="00000000">
      <w:pPr>
        <w:spacing w:beforeLines="50" w:before="156" w:line="360" w:lineRule="auto"/>
        <w:ind w:firstLine="420"/>
        <w:rPr>
          <w:sz w:val="24"/>
          <w:szCs w:val="24"/>
        </w:rPr>
      </w:pPr>
      <w:r>
        <w:rPr>
          <w:rFonts w:hint="eastAsia"/>
          <w:sz w:val="24"/>
          <w:szCs w:val="24"/>
        </w:rPr>
        <w:t>无。</w:t>
      </w:r>
    </w:p>
    <w:p w14:paraId="3E143FDA" w14:textId="77777777" w:rsidR="005932EC" w:rsidRDefault="005932EC">
      <w:pPr>
        <w:spacing w:beforeLines="50" w:before="156" w:line="360" w:lineRule="auto"/>
        <w:rPr>
          <w:sz w:val="24"/>
          <w:szCs w:val="24"/>
        </w:rPr>
      </w:pPr>
    </w:p>
    <w:p w14:paraId="29E25F58" w14:textId="77777777" w:rsidR="005932EC" w:rsidRDefault="00000000">
      <w:pPr>
        <w:spacing w:beforeLines="50" w:before="156" w:line="360" w:lineRule="auto"/>
        <w:outlineLvl w:val="0"/>
        <w:rPr>
          <w:rFonts w:asciiTheme="minorEastAsia" w:eastAsiaTheme="minorEastAsia" w:hAnsiTheme="minorEastAsia"/>
          <w:b/>
          <w:sz w:val="24"/>
          <w:szCs w:val="24"/>
        </w:rPr>
      </w:pPr>
      <w:bookmarkStart w:id="16" w:name="_Toc46098156"/>
      <w:r>
        <w:rPr>
          <w:rFonts w:asciiTheme="minorEastAsia" w:eastAsiaTheme="minorEastAsia" w:hAnsiTheme="minorEastAsia" w:hint="eastAsia"/>
          <w:b/>
          <w:sz w:val="24"/>
          <w:szCs w:val="24"/>
        </w:rPr>
        <w:t>七、</w:t>
      </w:r>
      <w:r>
        <w:rPr>
          <w:rFonts w:asciiTheme="minorEastAsia" w:eastAsiaTheme="minorEastAsia" w:hAnsiTheme="minorEastAsia"/>
          <w:b/>
          <w:sz w:val="24"/>
          <w:szCs w:val="24"/>
        </w:rPr>
        <w:t>贯彻标准的要求和措施建议（包括组织措施、技术措施、过渡办法等内容）</w:t>
      </w:r>
      <w:bookmarkEnd w:id="16"/>
    </w:p>
    <w:p w14:paraId="6C7081F1" w14:textId="77777777" w:rsidR="005932EC" w:rsidRDefault="00000000">
      <w:pPr>
        <w:spacing w:beforeLines="50" w:before="156"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在本标准发布后，开展对本标准的宣传和贯彻的培训，明确集装箱码头智能配载数据交互接口技术要求，为集装箱码头智能配载数据交互接口的开发、应用和维护提供建议和指导。</w:t>
      </w:r>
    </w:p>
    <w:p w14:paraId="3335E5A0" w14:textId="77777777" w:rsidR="005932EC" w:rsidRDefault="00000000">
      <w:pPr>
        <w:spacing w:beforeLines="50" w:before="156" w:line="360" w:lineRule="auto"/>
        <w:outlineLvl w:val="0"/>
        <w:rPr>
          <w:rFonts w:asciiTheme="minorEastAsia" w:eastAsiaTheme="minorEastAsia" w:hAnsiTheme="minorEastAsia"/>
          <w:b/>
          <w:sz w:val="24"/>
          <w:szCs w:val="24"/>
        </w:rPr>
      </w:pPr>
      <w:bookmarkStart w:id="17" w:name="_Toc46098157"/>
      <w:r>
        <w:rPr>
          <w:rFonts w:asciiTheme="minorEastAsia" w:eastAsiaTheme="minorEastAsia" w:hAnsiTheme="minorEastAsia" w:hint="eastAsia"/>
          <w:b/>
          <w:sz w:val="24"/>
          <w:szCs w:val="24"/>
        </w:rPr>
        <w:t>八、</w:t>
      </w:r>
      <w:r>
        <w:rPr>
          <w:rFonts w:asciiTheme="minorEastAsia" w:eastAsiaTheme="minorEastAsia" w:hAnsiTheme="minorEastAsia"/>
          <w:b/>
          <w:sz w:val="24"/>
          <w:szCs w:val="24"/>
        </w:rPr>
        <w:t>废止现行有关标准的建议</w:t>
      </w:r>
      <w:bookmarkEnd w:id="17"/>
    </w:p>
    <w:p w14:paraId="35B6F455" w14:textId="77777777" w:rsidR="005932EC" w:rsidRDefault="00000000">
      <w:pPr>
        <w:spacing w:beforeLines="50" w:before="156" w:line="360" w:lineRule="auto"/>
        <w:ind w:firstLineChars="202" w:firstLine="485"/>
        <w:rPr>
          <w:rFonts w:asciiTheme="minorEastAsia" w:eastAsiaTheme="minorEastAsia" w:hAnsiTheme="minorEastAsia"/>
          <w:sz w:val="24"/>
          <w:szCs w:val="24"/>
        </w:rPr>
      </w:pPr>
      <w:r>
        <w:rPr>
          <w:rFonts w:asciiTheme="minorEastAsia" w:eastAsiaTheme="minorEastAsia" w:hAnsiTheme="minorEastAsia" w:hint="eastAsia"/>
          <w:sz w:val="24"/>
          <w:szCs w:val="24"/>
        </w:rPr>
        <w:t>无。</w:t>
      </w:r>
    </w:p>
    <w:p w14:paraId="46C8261D" w14:textId="77777777" w:rsidR="005932EC" w:rsidRDefault="005932EC">
      <w:pPr>
        <w:spacing w:beforeLines="50" w:before="156" w:line="360" w:lineRule="auto"/>
        <w:ind w:firstLineChars="202" w:firstLine="485"/>
        <w:rPr>
          <w:rFonts w:asciiTheme="minorEastAsia" w:eastAsiaTheme="minorEastAsia" w:hAnsiTheme="minorEastAsia"/>
          <w:sz w:val="24"/>
          <w:szCs w:val="24"/>
        </w:rPr>
      </w:pPr>
    </w:p>
    <w:p w14:paraId="076AFA15" w14:textId="77777777" w:rsidR="005932EC" w:rsidRDefault="00000000">
      <w:pPr>
        <w:spacing w:beforeLines="50" w:before="156" w:line="360" w:lineRule="auto"/>
        <w:outlineLvl w:val="0"/>
        <w:rPr>
          <w:rFonts w:asciiTheme="minorEastAsia" w:eastAsiaTheme="minorEastAsia" w:hAnsiTheme="minorEastAsia"/>
          <w:b/>
          <w:sz w:val="24"/>
          <w:szCs w:val="24"/>
        </w:rPr>
      </w:pPr>
      <w:bookmarkStart w:id="18" w:name="_Toc46098158"/>
      <w:r>
        <w:rPr>
          <w:rFonts w:asciiTheme="minorEastAsia" w:eastAsiaTheme="minorEastAsia" w:hAnsiTheme="minorEastAsia" w:hint="eastAsia"/>
          <w:b/>
          <w:sz w:val="24"/>
          <w:szCs w:val="24"/>
        </w:rPr>
        <w:t>九、</w:t>
      </w:r>
      <w:r>
        <w:rPr>
          <w:rFonts w:asciiTheme="minorEastAsia" w:eastAsiaTheme="minorEastAsia" w:hAnsiTheme="minorEastAsia"/>
          <w:b/>
          <w:sz w:val="24"/>
          <w:szCs w:val="24"/>
        </w:rPr>
        <w:t>其他应予说明的事项</w:t>
      </w:r>
      <w:bookmarkEnd w:id="18"/>
    </w:p>
    <w:p w14:paraId="2E08BF69" w14:textId="77777777" w:rsidR="005932EC" w:rsidRDefault="00000000">
      <w:pPr>
        <w:spacing w:beforeLines="50" w:before="156" w:line="360" w:lineRule="auto"/>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无。</w:t>
      </w:r>
    </w:p>
    <w:sectPr w:rsidR="005932EC">
      <w:footerReference w:type="default" r:id="rId10"/>
      <w:pgSz w:w="11906" w:h="16838"/>
      <w:pgMar w:top="1588" w:right="1814" w:bottom="1588" w:left="1814"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B2ED4" w14:textId="77777777" w:rsidR="002C77E4" w:rsidRDefault="002C77E4">
      <w:r>
        <w:separator/>
      </w:r>
    </w:p>
  </w:endnote>
  <w:endnote w:type="continuationSeparator" w:id="0">
    <w:p w14:paraId="748E1077" w14:textId="77777777" w:rsidR="002C77E4" w:rsidRDefault="002C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docPartObj>
        <w:docPartGallery w:val="AutoText"/>
      </w:docPartObj>
    </w:sdtPr>
    <w:sdtContent>
      <w:p w14:paraId="75085DB1" w14:textId="77777777" w:rsidR="005932EC" w:rsidRDefault="00000000">
        <w:pPr>
          <w:pStyle w:val="af"/>
          <w:jc w:val="center"/>
        </w:pPr>
        <w:r>
          <w:fldChar w:fldCharType="begin"/>
        </w:r>
        <w:r>
          <w:instrText>PAGE   \* MERGEFORMAT</w:instrText>
        </w:r>
        <w:r>
          <w:fldChar w:fldCharType="separate"/>
        </w:r>
        <w:r>
          <w:rPr>
            <w:lang w:val="zh-CN"/>
          </w:rPr>
          <w:t>2</w:t>
        </w:r>
        <w:r>
          <w:fldChar w:fldCharType="end"/>
        </w:r>
      </w:p>
    </w:sdtContent>
  </w:sdt>
  <w:p w14:paraId="5CFF5293" w14:textId="77777777" w:rsidR="005932EC" w:rsidRDefault="005932E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53510"/>
      <w:docPartObj>
        <w:docPartGallery w:val="AutoText"/>
      </w:docPartObj>
    </w:sdtPr>
    <w:sdtContent>
      <w:p w14:paraId="57822BAD" w14:textId="77777777" w:rsidR="005932EC" w:rsidRDefault="00000000">
        <w:pPr>
          <w:pStyle w:val="af"/>
          <w:jc w:val="center"/>
        </w:pPr>
        <w:r>
          <w:fldChar w:fldCharType="begin"/>
        </w:r>
        <w:r>
          <w:instrText>PAGE   \* MERGEFORMAT</w:instrText>
        </w:r>
        <w:r>
          <w:fldChar w:fldCharType="separate"/>
        </w:r>
        <w:r>
          <w:rPr>
            <w:lang w:val="zh-CN"/>
          </w:rPr>
          <w:t>3</w:t>
        </w:r>
        <w:r>
          <w:fldChar w:fldCharType="end"/>
        </w:r>
      </w:p>
    </w:sdtContent>
  </w:sdt>
  <w:p w14:paraId="37D2696F" w14:textId="77777777" w:rsidR="005932EC" w:rsidRDefault="005932EC">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2177454"/>
      <w:docPartObj>
        <w:docPartGallery w:val="AutoText"/>
      </w:docPartObj>
    </w:sdtPr>
    <w:sdtEndPr>
      <w:rPr>
        <w:sz w:val="24"/>
        <w:szCs w:val="24"/>
      </w:rPr>
    </w:sdtEndPr>
    <w:sdtContent>
      <w:p w14:paraId="572A0298" w14:textId="77777777" w:rsidR="005932EC" w:rsidRDefault="00000000">
        <w:pPr>
          <w:pStyle w:val="af"/>
          <w:jc w:val="center"/>
          <w:rPr>
            <w:sz w:val="24"/>
            <w:szCs w:val="24"/>
          </w:rPr>
        </w:pPr>
        <w:r>
          <w:rPr>
            <w:sz w:val="24"/>
            <w:szCs w:val="24"/>
          </w:rPr>
          <w:fldChar w:fldCharType="begin"/>
        </w:r>
        <w:r>
          <w:rPr>
            <w:sz w:val="24"/>
            <w:szCs w:val="24"/>
          </w:rPr>
          <w:instrText>PAGE   \* MERGEFORMAT</w:instrText>
        </w:r>
        <w:r>
          <w:rPr>
            <w:sz w:val="24"/>
            <w:szCs w:val="24"/>
          </w:rPr>
          <w:fldChar w:fldCharType="separate"/>
        </w:r>
        <w:r>
          <w:rPr>
            <w:sz w:val="24"/>
            <w:szCs w:val="24"/>
            <w:lang w:val="zh-CN"/>
          </w:rPr>
          <w:t>1</w:t>
        </w:r>
        <w:r>
          <w:rPr>
            <w:sz w:val="24"/>
            <w:szCs w:val="24"/>
          </w:rPr>
          <w:fldChar w:fldCharType="end"/>
        </w:r>
      </w:p>
    </w:sdtContent>
  </w:sdt>
  <w:p w14:paraId="01B2622E" w14:textId="77777777" w:rsidR="005932EC" w:rsidRDefault="005932E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52E10" w14:textId="77777777" w:rsidR="002C77E4" w:rsidRDefault="002C77E4">
      <w:r>
        <w:separator/>
      </w:r>
    </w:p>
  </w:footnote>
  <w:footnote w:type="continuationSeparator" w:id="0">
    <w:p w14:paraId="259F6435" w14:textId="77777777" w:rsidR="002C77E4" w:rsidRDefault="002C7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decimal"/>
      <w:suff w:val="nothing"/>
      <w:lvlText w:val="%1　"/>
      <w:lvlJc w:val="left"/>
      <w:pPr>
        <w:ind w:left="1277"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color w:val="auto"/>
        <w:sz w:val="21"/>
      </w:rPr>
    </w:lvl>
    <w:lvl w:ilvl="4">
      <w:start w:val="1"/>
      <w:numFmt w:val="decimal"/>
      <w:suff w:val="nothing"/>
      <w:lvlText w:val="%1.%2.%3.%4.%5　"/>
      <w:lvlJc w:val="left"/>
      <w:pPr>
        <w:ind w:left="2126"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00000017"/>
    <w:multiLevelType w:val="multilevel"/>
    <w:tmpl w:val="00000017"/>
    <w:lvl w:ilvl="0">
      <w:start w:val="1"/>
      <w:numFmt w:val="lowerLetter"/>
      <w:pStyle w:val="a0"/>
      <w:lvlText w:val="%1)"/>
      <w:lvlJc w:val="left"/>
      <w:pPr>
        <w:tabs>
          <w:tab w:val="left" w:pos="840"/>
        </w:tabs>
        <w:ind w:left="839" w:hanging="419"/>
      </w:pPr>
      <w:rPr>
        <w:rFonts w:ascii="宋体" w:eastAsia="宋体" w:hint="eastAsia"/>
        <w:b w:val="0"/>
        <w:i w:val="0"/>
        <w:sz w:val="21"/>
        <w:szCs w:val="21"/>
      </w:rPr>
    </w:lvl>
    <w:lvl w:ilvl="1">
      <w:start w:val="1"/>
      <w:numFmt w:val="decimal"/>
      <w:pStyle w:val="a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15:restartNumberingAfterBreak="0">
    <w:nsid w:val="03114E1C"/>
    <w:multiLevelType w:val="multilevel"/>
    <w:tmpl w:val="03114E1C"/>
    <w:lvl w:ilvl="0">
      <w:start w:val="1"/>
      <w:numFmt w:val="lowerLetter"/>
      <w:pStyle w:val="a2"/>
      <w:lvlText w:val="%1)"/>
      <w:lvlJc w:val="left"/>
      <w:pPr>
        <w:ind w:left="840" w:hanging="420"/>
      </w:pPr>
      <w:rPr>
        <w:rFonts w:hint="eastAsia"/>
        <w:b w:val="0"/>
        <w:i w:val="0"/>
        <w:sz w:val="20"/>
        <w:szCs w:val="21"/>
      </w:rPr>
    </w:lvl>
    <w:lvl w:ilvl="1">
      <w:start w:val="1"/>
      <w:numFmt w:val="decimal"/>
      <w:pStyle w:val="a3"/>
      <w:lvlText w:val="%2)"/>
      <w:lvlJc w:val="left"/>
      <w:pPr>
        <w:tabs>
          <w:tab w:val="left" w:pos="1259"/>
        </w:tabs>
        <w:ind w:left="1259" w:hanging="420"/>
      </w:pPr>
      <w:rPr>
        <w:rFonts w:ascii="宋体" w:eastAsia="宋体" w:hAnsi="宋体" w:hint="eastAsia"/>
        <w:b w:val="0"/>
        <w:i w:val="0"/>
        <w:sz w:val="20"/>
      </w:rPr>
    </w:lvl>
    <w:lvl w:ilvl="2">
      <w:start w:val="1"/>
      <w:numFmt w:val="decimal"/>
      <w:pStyle w:val="a4"/>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num w:numId="1" w16cid:durableId="1822428904">
    <w:abstractNumId w:val="0"/>
  </w:num>
  <w:num w:numId="2" w16cid:durableId="1391029867">
    <w:abstractNumId w:val="2"/>
  </w:num>
  <w:num w:numId="3" w16cid:durableId="823547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hideSpellingErrors/>
  <w:hideGrammaticalErrors/>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D80"/>
    <w:rsid w:val="00000830"/>
    <w:rsid w:val="00002033"/>
    <w:rsid w:val="0000247D"/>
    <w:rsid w:val="00002B7C"/>
    <w:rsid w:val="000041EB"/>
    <w:rsid w:val="00005EE6"/>
    <w:rsid w:val="00006EF0"/>
    <w:rsid w:val="00022B03"/>
    <w:rsid w:val="0004418D"/>
    <w:rsid w:val="00061378"/>
    <w:rsid w:val="000743ED"/>
    <w:rsid w:val="000876B6"/>
    <w:rsid w:val="000A771C"/>
    <w:rsid w:val="000C451F"/>
    <w:rsid w:val="000C5F7E"/>
    <w:rsid w:val="000D127C"/>
    <w:rsid w:val="000E544E"/>
    <w:rsid w:val="000F2EC1"/>
    <w:rsid w:val="000F3914"/>
    <w:rsid w:val="000F6B29"/>
    <w:rsid w:val="001015A6"/>
    <w:rsid w:val="0013290C"/>
    <w:rsid w:val="00133103"/>
    <w:rsid w:val="001379BD"/>
    <w:rsid w:val="0014096F"/>
    <w:rsid w:val="00141634"/>
    <w:rsid w:val="001416C7"/>
    <w:rsid w:val="001426ED"/>
    <w:rsid w:val="001500DC"/>
    <w:rsid w:val="00154EB1"/>
    <w:rsid w:val="00165479"/>
    <w:rsid w:val="00171197"/>
    <w:rsid w:val="001936E6"/>
    <w:rsid w:val="001B3A51"/>
    <w:rsid w:val="001E7DC6"/>
    <w:rsid w:val="00210169"/>
    <w:rsid w:val="00216B64"/>
    <w:rsid w:val="00221100"/>
    <w:rsid w:val="00241115"/>
    <w:rsid w:val="002522A9"/>
    <w:rsid w:val="0025499B"/>
    <w:rsid w:val="002615E0"/>
    <w:rsid w:val="0028557A"/>
    <w:rsid w:val="002972BA"/>
    <w:rsid w:val="002C215F"/>
    <w:rsid w:val="002C77E4"/>
    <w:rsid w:val="002D37E7"/>
    <w:rsid w:val="002D56AA"/>
    <w:rsid w:val="002F1BEA"/>
    <w:rsid w:val="0030244D"/>
    <w:rsid w:val="003033CD"/>
    <w:rsid w:val="00312974"/>
    <w:rsid w:val="0031315A"/>
    <w:rsid w:val="00317F8A"/>
    <w:rsid w:val="003235DA"/>
    <w:rsid w:val="00331983"/>
    <w:rsid w:val="00332699"/>
    <w:rsid w:val="003457C2"/>
    <w:rsid w:val="003541D2"/>
    <w:rsid w:val="003544B8"/>
    <w:rsid w:val="00362971"/>
    <w:rsid w:val="00362C8D"/>
    <w:rsid w:val="00386E12"/>
    <w:rsid w:val="0039181B"/>
    <w:rsid w:val="003918BA"/>
    <w:rsid w:val="0039217E"/>
    <w:rsid w:val="0039479E"/>
    <w:rsid w:val="003956F7"/>
    <w:rsid w:val="003A319E"/>
    <w:rsid w:val="003D0C8C"/>
    <w:rsid w:val="003E0742"/>
    <w:rsid w:val="003E2746"/>
    <w:rsid w:val="003E468D"/>
    <w:rsid w:val="003E67D3"/>
    <w:rsid w:val="003F356A"/>
    <w:rsid w:val="003F366A"/>
    <w:rsid w:val="00411EAB"/>
    <w:rsid w:val="00423E79"/>
    <w:rsid w:val="004269C3"/>
    <w:rsid w:val="00434371"/>
    <w:rsid w:val="0044127E"/>
    <w:rsid w:val="004467BF"/>
    <w:rsid w:val="00447861"/>
    <w:rsid w:val="00483FA6"/>
    <w:rsid w:val="004866FB"/>
    <w:rsid w:val="00491409"/>
    <w:rsid w:val="0049564C"/>
    <w:rsid w:val="00497192"/>
    <w:rsid w:val="004A33C6"/>
    <w:rsid w:val="004B1AD9"/>
    <w:rsid w:val="004B6E12"/>
    <w:rsid w:val="004C60ED"/>
    <w:rsid w:val="004D1019"/>
    <w:rsid w:val="004D4A52"/>
    <w:rsid w:val="00502B99"/>
    <w:rsid w:val="00503171"/>
    <w:rsid w:val="005034BC"/>
    <w:rsid w:val="005103DF"/>
    <w:rsid w:val="0052635F"/>
    <w:rsid w:val="00531A37"/>
    <w:rsid w:val="00531DE3"/>
    <w:rsid w:val="00533951"/>
    <w:rsid w:val="005637E9"/>
    <w:rsid w:val="005701C3"/>
    <w:rsid w:val="005732C5"/>
    <w:rsid w:val="00581B78"/>
    <w:rsid w:val="005932EC"/>
    <w:rsid w:val="005C2CB0"/>
    <w:rsid w:val="005C793B"/>
    <w:rsid w:val="005F2A13"/>
    <w:rsid w:val="005F2EB8"/>
    <w:rsid w:val="00610FB3"/>
    <w:rsid w:val="00614860"/>
    <w:rsid w:val="006613FB"/>
    <w:rsid w:val="006634E1"/>
    <w:rsid w:val="006672E7"/>
    <w:rsid w:val="00672A9F"/>
    <w:rsid w:val="00675EC0"/>
    <w:rsid w:val="00675F68"/>
    <w:rsid w:val="00685107"/>
    <w:rsid w:val="006A2C36"/>
    <w:rsid w:val="006A4AEF"/>
    <w:rsid w:val="006B1215"/>
    <w:rsid w:val="006B4DF1"/>
    <w:rsid w:val="006C0076"/>
    <w:rsid w:val="006D7746"/>
    <w:rsid w:val="006E0C0E"/>
    <w:rsid w:val="006E67C9"/>
    <w:rsid w:val="006E6C0B"/>
    <w:rsid w:val="006E7867"/>
    <w:rsid w:val="006F763E"/>
    <w:rsid w:val="007244EE"/>
    <w:rsid w:val="0073450F"/>
    <w:rsid w:val="00751E37"/>
    <w:rsid w:val="00753809"/>
    <w:rsid w:val="00763EAB"/>
    <w:rsid w:val="00766C81"/>
    <w:rsid w:val="00771902"/>
    <w:rsid w:val="00773EE8"/>
    <w:rsid w:val="007749DE"/>
    <w:rsid w:val="00774D80"/>
    <w:rsid w:val="00783DD1"/>
    <w:rsid w:val="00785292"/>
    <w:rsid w:val="00785FF9"/>
    <w:rsid w:val="007B231C"/>
    <w:rsid w:val="007C7995"/>
    <w:rsid w:val="007E5741"/>
    <w:rsid w:val="007E705A"/>
    <w:rsid w:val="007F1430"/>
    <w:rsid w:val="007F738E"/>
    <w:rsid w:val="008107F0"/>
    <w:rsid w:val="00811CF9"/>
    <w:rsid w:val="00816801"/>
    <w:rsid w:val="00822B1F"/>
    <w:rsid w:val="008275D3"/>
    <w:rsid w:val="00831EC0"/>
    <w:rsid w:val="00833541"/>
    <w:rsid w:val="008367A5"/>
    <w:rsid w:val="00846E4E"/>
    <w:rsid w:val="00854D5D"/>
    <w:rsid w:val="00863840"/>
    <w:rsid w:val="00867B12"/>
    <w:rsid w:val="00870187"/>
    <w:rsid w:val="008814BD"/>
    <w:rsid w:val="008914E3"/>
    <w:rsid w:val="0089375D"/>
    <w:rsid w:val="008939A3"/>
    <w:rsid w:val="008A14D7"/>
    <w:rsid w:val="008A1746"/>
    <w:rsid w:val="008B5E30"/>
    <w:rsid w:val="008C158B"/>
    <w:rsid w:val="008C2ECA"/>
    <w:rsid w:val="008C4778"/>
    <w:rsid w:val="008D56EC"/>
    <w:rsid w:val="008E4618"/>
    <w:rsid w:val="008E6F9E"/>
    <w:rsid w:val="0090678B"/>
    <w:rsid w:val="0090703B"/>
    <w:rsid w:val="009343B7"/>
    <w:rsid w:val="009413AD"/>
    <w:rsid w:val="00941C5C"/>
    <w:rsid w:val="00942E15"/>
    <w:rsid w:val="00951F8B"/>
    <w:rsid w:val="009725D0"/>
    <w:rsid w:val="009751C9"/>
    <w:rsid w:val="00980E45"/>
    <w:rsid w:val="0099224A"/>
    <w:rsid w:val="009A0DD8"/>
    <w:rsid w:val="009A3C51"/>
    <w:rsid w:val="009A79E2"/>
    <w:rsid w:val="009B2C49"/>
    <w:rsid w:val="009B3825"/>
    <w:rsid w:val="009B4EC0"/>
    <w:rsid w:val="009D0D9E"/>
    <w:rsid w:val="009D73A6"/>
    <w:rsid w:val="009F4B50"/>
    <w:rsid w:val="00A04DA5"/>
    <w:rsid w:val="00A052AF"/>
    <w:rsid w:val="00A15CFB"/>
    <w:rsid w:val="00A21F07"/>
    <w:rsid w:val="00A3418E"/>
    <w:rsid w:val="00A428EE"/>
    <w:rsid w:val="00A44D24"/>
    <w:rsid w:val="00A544ED"/>
    <w:rsid w:val="00A72F26"/>
    <w:rsid w:val="00A75124"/>
    <w:rsid w:val="00A81413"/>
    <w:rsid w:val="00A8305A"/>
    <w:rsid w:val="00A834AA"/>
    <w:rsid w:val="00A924EB"/>
    <w:rsid w:val="00A9491F"/>
    <w:rsid w:val="00AD3E69"/>
    <w:rsid w:val="00AD5020"/>
    <w:rsid w:val="00AE3903"/>
    <w:rsid w:val="00AE4BEA"/>
    <w:rsid w:val="00AE6144"/>
    <w:rsid w:val="00B07E0A"/>
    <w:rsid w:val="00B2115A"/>
    <w:rsid w:val="00B328C9"/>
    <w:rsid w:val="00B42092"/>
    <w:rsid w:val="00B52BCF"/>
    <w:rsid w:val="00B62EFD"/>
    <w:rsid w:val="00B64CAE"/>
    <w:rsid w:val="00B67AFA"/>
    <w:rsid w:val="00B70E7E"/>
    <w:rsid w:val="00B8201E"/>
    <w:rsid w:val="00B91A4E"/>
    <w:rsid w:val="00B97BF7"/>
    <w:rsid w:val="00BC346B"/>
    <w:rsid w:val="00BC4D1B"/>
    <w:rsid w:val="00BF1D15"/>
    <w:rsid w:val="00C04636"/>
    <w:rsid w:val="00C05EB2"/>
    <w:rsid w:val="00C06C7D"/>
    <w:rsid w:val="00C076AF"/>
    <w:rsid w:val="00C077AC"/>
    <w:rsid w:val="00C10BF1"/>
    <w:rsid w:val="00C33FDF"/>
    <w:rsid w:val="00C35DDE"/>
    <w:rsid w:val="00C4552B"/>
    <w:rsid w:val="00C51076"/>
    <w:rsid w:val="00C515E5"/>
    <w:rsid w:val="00C54E66"/>
    <w:rsid w:val="00C55974"/>
    <w:rsid w:val="00C64365"/>
    <w:rsid w:val="00C643B1"/>
    <w:rsid w:val="00C65A0B"/>
    <w:rsid w:val="00C743BF"/>
    <w:rsid w:val="00C80ECD"/>
    <w:rsid w:val="00C957E6"/>
    <w:rsid w:val="00CC3C56"/>
    <w:rsid w:val="00CC50FC"/>
    <w:rsid w:val="00CD3CD3"/>
    <w:rsid w:val="00CE2184"/>
    <w:rsid w:val="00CF4BEA"/>
    <w:rsid w:val="00D14A6F"/>
    <w:rsid w:val="00D22500"/>
    <w:rsid w:val="00D3282A"/>
    <w:rsid w:val="00D45BF9"/>
    <w:rsid w:val="00D64EAC"/>
    <w:rsid w:val="00D71230"/>
    <w:rsid w:val="00D80291"/>
    <w:rsid w:val="00D8035A"/>
    <w:rsid w:val="00D813A2"/>
    <w:rsid w:val="00D858DD"/>
    <w:rsid w:val="00D87115"/>
    <w:rsid w:val="00DA6562"/>
    <w:rsid w:val="00DC2909"/>
    <w:rsid w:val="00DC3934"/>
    <w:rsid w:val="00DC5664"/>
    <w:rsid w:val="00DC70AD"/>
    <w:rsid w:val="00DD2063"/>
    <w:rsid w:val="00DD7B38"/>
    <w:rsid w:val="00DE597C"/>
    <w:rsid w:val="00DF19F3"/>
    <w:rsid w:val="00DF625C"/>
    <w:rsid w:val="00E0009D"/>
    <w:rsid w:val="00E01581"/>
    <w:rsid w:val="00E1061A"/>
    <w:rsid w:val="00E13578"/>
    <w:rsid w:val="00E13E25"/>
    <w:rsid w:val="00E20429"/>
    <w:rsid w:val="00E306DD"/>
    <w:rsid w:val="00E33B00"/>
    <w:rsid w:val="00E901AF"/>
    <w:rsid w:val="00E92873"/>
    <w:rsid w:val="00E953B9"/>
    <w:rsid w:val="00E95A01"/>
    <w:rsid w:val="00E96949"/>
    <w:rsid w:val="00E96F8E"/>
    <w:rsid w:val="00EA3493"/>
    <w:rsid w:val="00EC1E69"/>
    <w:rsid w:val="00ED27BA"/>
    <w:rsid w:val="00ED2DA5"/>
    <w:rsid w:val="00ED65EB"/>
    <w:rsid w:val="00ED6D60"/>
    <w:rsid w:val="00ED7616"/>
    <w:rsid w:val="00EF5034"/>
    <w:rsid w:val="00F02FAE"/>
    <w:rsid w:val="00F07BA0"/>
    <w:rsid w:val="00F21DA0"/>
    <w:rsid w:val="00F24D4A"/>
    <w:rsid w:val="00F326B1"/>
    <w:rsid w:val="00F34D0A"/>
    <w:rsid w:val="00F351A4"/>
    <w:rsid w:val="00F50060"/>
    <w:rsid w:val="00F55585"/>
    <w:rsid w:val="00F74158"/>
    <w:rsid w:val="00F77914"/>
    <w:rsid w:val="00FA45B6"/>
    <w:rsid w:val="00FA7B2E"/>
    <w:rsid w:val="00FB6FD0"/>
    <w:rsid w:val="00FB75A4"/>
    <w:rsid w:val="00FC1720"/>
    <w:rsid w:val="00FF332B"/>
    <w:rsid w:val="7FDF6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1658E67"/>
  <w15:docId w15:val="{84B4D028-4E3E-974E-8E06-DA869785E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pPr>
      <w:widowControl w:val="0"/>
      <w:jc w:val="both"/>
    </w:pPr>
    <w:rPr>
      <w:rFonts w:ascii="Times New Roman" w:eastAsia="宋体" w:hAnsi="Times New Roman" w:cs="Times New Roman"/>
      <w:kern w:val="2"/>
      <w:sz w:val="21"/>
    </w:rPr>
  </w:style>
  <w:style w:type="paragraph" w:styleId="1">
    <w:name w:val="heading 1"/>
    <w:basedOn w:val="a5"/>
    <w:next w:val="a5"/>
    <w:link w:val="10"/>
    <w:uiPriority w:val="9"/>
    <w:qFormat/>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TOC7">
    <w:name w:val="toc 7"/>
    <w:basedOn w:val="a5"/>
    <w:next w:val="a5"/>
    <w:autoRedefine/>
    <w:uiPriority w:val="39"/>
    <w:semiHidden/>
    <w:unhideWhenUsed/>
    <w:pPr>
      <w:ind w:left="1260"/>
      <w:jc w:val="left"/>
    </w:pPr>
    <w:rPr>
      <w:rFonts w:asciiTheme="minorHAnsi" w:hAnsiTheme="minorHAnsi"/>
      <w:sz w:val="18"/>
      <w:szCs w:val="18"/>
    </w:rPr>
  </w:style>
  <w:style w:type="paragraph" w:styleId="a9">
    <w:name w:val="annotation text"/>
    <w:basedOn w:val="a5"/>
    <w:link w:val="aa"/>
    <w:pPr>
      <w:adjustRightInd w:val="0"/>
      <w:spacing w:line="360" w:lineRule="atLeast"/>
      <w:jc w:val="left"/>
      <w:textAlignment w:val="baseline"/>
    </w:pPr>
    <w:rPr>
      <w:kern w:val="0"/>
      <w:sz w:val="28"/>
    </w:rPr>
  </w:style>
  <w:style w:type="paragraph" w:styleId="ab">
    <w:name w:val="Body Text Indent"/>
    <w:basedOn w:val="a5"/>
    <w:link w:val="ac"/>
    <w:pPr>
      <w:adjustRightInd w:val="0"/>
      <w:spacing w:line="360" w:lineRule="auto"/>
      <w:ind w:firstLine="420"/>
      <w:jc w:val="left"/>
      <w:textAlignment w:val="baseline"/>
    </w:pPr>
    <w:rPr>
      <w:kern w:val="0"/>
    </w:rPr>
  </w:style>
  <w:style w:type="paragraph" w:styleId="TOC5">
    <w:name w:val="toc 5"/>
    <w:basedOn w:val="a5"/>
    <w:next w:val="a5"/>
    <w:autoRedefine/>
    <w:uiPriority w:val="39"/>
    <w:semiHidden/>
    <w:unhideWhenUsed/>
    <w:pPr>
      <w:ind w:left="840"/>
      <w:jc w:val="left"/>
    </w:pPr>
    <w:rPr>
      <w:rFonts w:asciiTheme="minorHAnsi" w:hAnsiTheme="minorHAnsi"/>
      <w:sz w:val="18"/>
      <w:szCs w:val="18"/>
    </w:rPr>
  </w:style>
  <w:style w:type="paragraph" w:styleId="TOC3">
    <w:name w:val="toc 3"/>
    <w:basedOn w:val="a5"/>
    <w:next w:val="a5"/>
    <w:autoRedefine/>
    <w:uiPriority w:val="39"/>
    <w:semiHidden/>
    <w:unhideWhenUsed/>
    <w:pPr>
      <w:ind w:left="420"/>
      <w:jc w:val="left"/>
    </w:pPr>
    <w:rPr>
      <w:rFonts w:asciiTheme="minorHAnsi" w:hAnsiTheme="minorHAnsi"/>
      <w:i/>
      <w:iCs/>
      <w:sz w:val="20"/>
    </w:rPr>
  </w:style>
  <w:style w:type="paragraph" w:styleId="TOC8">
    <w:name w:val="toc 8"/>
    <w:basedOn w:val="a5"/>
    <w:next w:val="a5"/>
    <w:autoRedefine/>
    <w:uiPriority w:val="39"/>
    <w:semiHidden/>
    <w:unhideWhenUsed/>
    <w:pPr>
      <w:ind w:left="1470"/>
      <w:jc w:val="left"/>
    </w:pPr>
    <w:rPr>
      <w:rFonts w:asciiTheme="minorHAnsi" w:hAnsiTheme="minorHAnsi"/>
      <w:sz w:val="18"/>
      <w:szCs w:val="18"/>
    </w:rPr>
  </w:style>
  <w:style w:type="paragraph" w:styleId="ad">
    <w:name w:val="Balloon Text"/>
    <w:basedOn w:val="a5"/>
    <w:link w:val="ae"/>
    <w:uiPriority w:val="99"/>
    <w:semiHidden/>
    <w:unhideWhenUsed/>
    <w:rPr>
      <w:sz w:val="18"/>
      <w:szCs w:val="18"/>
    </w:rPr>
  </w:style>
  <w:style w:type="paragraph" w:styleId="af">
    <w:name w:val="footer"/>
    <w:basedOn w:val="a5"/>
    <w:link w:val="af0"/>
    <w:uiPriority w:val="99"/>
    <w:unhideWhenUsed/>
    <w:pPr>
      <w:tabs>
        <w:tab w:val="center" w:pos="4153"/>
        <w:tab w:val="right" w:pos="8306"/>
      </w:tabs>
      <w:snapToGrid w:val="0"/>
      <w:jc w:val="left"/>
    </w:pPr>
    <w:rPr>
      <w:sz w:val="18"/>
      <w:szCs w:val="18"/>
    </w:rPr>
  </w:style>
  <w:style w:type="paragraph" w:styleId="af1">
    <w:name w:val="header"/>
    <w:basedOn w:val="a5"/>
    <w:link w:val="af2"/>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5"/>
    <w:next w:val="a5"/>
    <w:uiPriority w:val="39"/>
    <w:pPr>
      <w:spacing w:before="120" w:after="120"/>
      <w:jc w:val="left"/>
    </w:pPr>
    <w:rPr>
      <w:rFonts w:asciiTheme="minorHAnsi" w:hAnsiTheme="minorHAnsi"/>
      <w:b/>
      <w:bCs/>
      <w:caps/>
      <w:sz w:val="20"/>
    </w:rPr>
  </w:style>
  <w:style w:type="paragraph" w:styleId="TOC4">
    <w:name w:val="toc 4"/>
    <w:basedOn w:val="a5"/>
    <w:next w:val="a5"/>
    <w:autoRedefine/>
    <w:uiPriority w:val="39"/>
    <w:semiHidden/>
    <w:unhideWhenUsed/>
    <w:pPr>
      <w:ind w:left="630"/>
      <w:jc w:val="left"/>
    </w:pPr>
    <w:rPr>
      <w:rFonts w:asciiTheme="minorHAnsi" w:hAnsiTheme="minorHAnsi"/>
      <w:sz w:val="18"/>
      <w:szCs w:val="18"/>
    </w:rPr>
  </w:style>
  <w:style w:type="paragraph" w:styleId="TOC6">
    <w:name w:val="toc 6"/>
    <w:basedOn w:val="a5"/>
    <w:next w:val="a5"/>
    <w:autoRedefine/>
    <w:uiPriority w:val="39"/>
    <w:semiHidden/>
    <w:unhideWhenUsed/>
    <w:pPr>
      <w:ind w:left="1050"/>
      <w:jc w:val="left"/>
    </w:pPr>
    <w:rPr>
      <w:rFonts w:asciiTheme="minorHAnsi" w:hAnsiTheme="minorHAnsi"/>
      <w:sz w:val="18"/>
      <w:szCs w:val="18"/>
    </w:rPr>
  </w:style>
  <w:style w:type="paragraph" w:styleId="TOC2">
    <w:name w:val="toc 2"/>
    <w:basedOn w:val="a5"/>
    <w:next w:val="a5"/>
    <w:uiPriority w:val="39"/>
    <w:pPr>
      <w:ind w:left="210"/>
      <w:jc w:val="left"/>
    </w:pPr>
    <w:rPr>
      <w:rFonts w:asciiTheme="minorHAnsi" w:hAnsiTheme="minorHAnsi"/>
      <w:smallCaps/>
      <w:sz w:val="20"/>
    </w:rPr>
  </w:style>
  <w:style w:type="paragraph" w:styleId="TOC9">
    <w:name w:val="toc 9"/>
    <w:basedOn w:val="a5"/>
    <w:next w:val="a5"/>
    <w:autoRedefine/>
    <w:uiPriority w:val="39"/>
    <w:semiHidden/>
    <w:unhideWhenUsed/>
    <w:pPr>
      <w:ind w:left="1680"/>
      <w:jc w:val="left"/>
    </w:pPr>
    <w:rPr>
      <w:rFonts w:asciiTheme="minorHAnsi" w:hAnsiTheme="minorHAnsi"/>
      <w:sz w:val="18"/>
      <w:szCs w:val="18"/>
    </w:rPr>
  </w:style>
  <w:style w:type="character" w:styleId="af3">
    <w:name w:val="Hyperlink"/>
    <w:uiPriority w:val="99"/>
    <w:rPr>
      <w:color w:val="0000FF"/>
      <w:u w:val="single"/>
    </w:rPr>
  </w:style>
  <w:style w:type="character" w:styleId="af4">
    <w:name w:val="annotation reference"/>
    <w:rPr>
      <w:sz w:val="21"/>
      <w:szCs w:val="21"/>
    </w:rPr>
  </w:style>
  <w:style w:type="paragraph" w:styleId="af5">
    <w:name w:val="List Paragraph"/>
    <w:basedOn w:val="a5"/>
    <w:uiPriority w:val="34"/>
    <w:qFormat/>
    <w:pPr>
      <w:ind w:firstLineChars="200" w:firstLine="420"/>
    </w:pPr>
  </w:style>
  <w:style w:type="character" w:customStyle="1" w:styleId="af2">
    <w:name w:val="页眉 字符"/>
    <w:basedOn w:val="a6"/>
    <w:link w:val="af1"/>
    <w:uiPriority w:val="99"/>
    <w:rPr>
      <w:rFonts w:ascii="Times New Roman" w:eastAsia="宋体" w:hAnsi="Times New Roman" w:cs="Times New Roman"/>
      <w:sz w:val="18"/>
      <w:szCs w:val="18"/>
    </w:rPr>
  </w:style>
  <w:style w:type="character" w:customStyle="1" w:styleId="af0">
    <w:name w:val="页脚 字符"/>
    <w:basedOn w:val="a6"/>
    <w:link w:val="af"/>
    <w:uiPriority w:val="99"/>
    <w:rPr>
      <w:rFonts w:ascii="Times New Roman" w:eastAsia="宋体" w:hAnsi="Times New Roman" w:cs="Times New Roman"/>
      <w:sz w:val="18"/>
      <w:szCs w:val="18"/>
    </w:rPr>
  </w:style>
  <w:style w:type="character" w:customStyle="1" w:styleId="ae">
    <w:name w:val="批注框文本 字符"/>
    <w:basedOn w:val="a6"/>
    <w:link w:val="ad"/>
    <w:uiPriority w:val="99"/>
    <w:semiHidden/>
    <w:rPr>
      <w:rFonts w:ascii="Times New Roman" w:eastAsia="宋体" w:hAnsi="Times New Roman" w:cs="Times New Roman"/>
      <w:sz w:val="18"/>
      <w:szCs w:val="18"/>
    </w:rPr>
  </w:style>
  <w:style w:type="character" w:customStyle="1" w:styleId="Char">
    <w:name w:val="批注文字 Char"/>
    <w:basedOn w:val="a6"/>
    <w:uiPriority w:val="99"/>
    <w:semiHidden/>
    <w:rPr>
      <w:rFonts w:ascii="Times New Roman" w:eastAsia="宋体" w:hAnsi="Times New Roman" w:cs="Times New Roman"/>
      <w:szCs w:val="20"/>
    </w:rPr>
  </w:style>
  <w:style w:type="character" w:customStyle="1" w:styleId="aa">
    <w:name w:val="批注文字 字符"/>
    <w:link w:val="a9"/>
    <w:rPr>
      <w:rFonts w:ascii="Times New Roman" w:eastAsia="宋体" w:hAnsi="Times New Roman" w:cs="Times New Roman"/>
      <w:kern w:val="0"/>
      <w:sz w:val="28"/>
      <w:szCs w:val="20"/>
    </w:rPr>
  </w:style>
  <w:style w:type="character" w:customStyle="1" w:styleId="ac">
    <w:name w:val="正文文本缩进 字符"/>
    <w:basedOn w:val="a6"/>
    <w:link w:val="ab"/>
    <w:rPr>
      <w:rFonts w:ascii="Times New Roman" w:eastAsia="宋体" w:hAnsi="Times New Roman" w:cs="Times New Roman"/>
      <w:kern w:val="0"/>
      <w:szCs w:val="20"/>
    </w:rPr>
  </w:style>
  <w:style w:type="character" w:customStyle="1" w:styleId="10">
    <w:name w:val="标题 1 字符"/>
    <w:basedOn w:val="a6"/>
    <w:link w:val="1"/>
    <w:uiPriority w:val="9"/>
    <w:rPr>
      <w:rFonts w:ascii="Times New Roman" w:eastAsia="宋体" w:hAnsi="Times New Roman" w:cs="Times New Roman"/>
      <w:b/>
      <w:bCs/>
      <w:kern w:val="44"/>
      <w:sz w:val="44"/>
      <w:szCs w:val="44"/>
    </w:rPr>
  </w:style>
  <w:style w:type="paragraph" w:customStyle="1" w:styleId="TOC10">
    <w:name w:val="TOC 标题1"/>
    <w:basedOn w:val="1"/>
    <w:next w:val="a5"/>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af6">
    <w:name w:val="表格"/>
    <w:basedOn w:val="a5"/>
    <w:pPr>
      <w:adjustRightInd w:val="0"/>
      <w:snapToGrid w:val="0"/>
      <w:spacing w:after="60" w:line="400" w:lineRule="atLeast"/>
      <w:jc w:val="center"/>
      <w:textAlignment w:val="center"/>
    </w:pPr>
    <w:rPr>
      <w:kern w:val="0"/>
    </w:rPr>
  </w:style>
  <w:style w:type="paragraph" w:customStyle="1" w:styleId="af7">
    <w:name w:val="一级条标题"/>
    <w:next w:val="a5"/>
    <w:pPr>
      <w:spacing w:beforeLines="50" w:before="156" w:afterLines="50" w:after="156"/>
      <w:outlineLvl w:val="2"/>
    </w:pPr>
    <w:rPr>
      <w:rFonts w:ascii="黑体" w:eastAsia="黑体" w:hAnsi="Times New Roman" w:cs="Times New Roman"/>
      <w:sz w:val="21"/>
      <w:szCs w:val="21"/>
    </w:rPr>
  </w:style>
  <w:style w:type="paragraph" w:customStyle="1" w:styleId="a">
    <w:name w:val="二级条标题"/>
    <w:basedOn w:val="af7"/>
    <w:next w:val="a5"/>
    <w:pPr>
      <w:numPr>
        <w:ilvl w:val="2"/>
        <w:numId w:val="1"/>
      </w:numPr>
      <w:spacing w:before="50" w:after="50"/>
      <w:outlineLvl w:val="3"/>
    </w:pPr>
    <w:rPr>
      <w:rFonts w:ascii="Times New Roman" w:eastAsia="宋体"/>
    </w:rPr>
  </w:style>
  <w:style w:type="paragraph" w:customStyle="1" w:styleId="a3">
    <w:name w:val="三级条标题"/>
    <w:basedOn w:val="a"/>
    <w:next w:val="a5"/>
    <w:pPr>
      <w:numPr>
        <w:ilvl w:val="1"/>
        <w:numId w:val="2"/>
      </w:numPr>
      <w:outlineLvl w:val="4"/>
    </w:pPr>
  </w:style>
  <w:style w:type="paragraph" w:customStyle="1" w:styleId="a2">
    <w:name w:val="列项——（一级）"/>
    <w:pPr>
      <w:widowControl w:val="0"/>
      <w:numPr>
        <w:numId w:val="2"/>
      </w:numPr>
      <w:jc w:val="both"/>
    </w:pPr>
    <w:rPr>
      <w:rFonts w:ascii="宋体" w:eastAsia="宋体" w:hAnsi="Times New Roman" w:cs="Times New Roman"/>
      <w:sz w:val="21"/>
    </w:rPr>
  </w:style>
  <w:style w:type="paragraph" w:customStyle="1" w:styleId="a4">
    <w:name w:val="列项◆（三级）"/>
    <w:basedOn w:val="a5"/>
    <w:pPr>
      <w:widowControl/>
      <w:numPr>
        <w:ilvl w:val="2"/>
        <w:numId w:val="2"/>
      </w:numPr>
      <w:jc w:val="left"/>
    </w:pPr>
    <w:rPr>
      <w:rFonts w:ascii="宋体"/>
      <w:kern w:val="0"/>
      <w:sz w:val="24"/>
      <w:szCs w:val="21"/>
    </w:rPr>
  </w:style>
  <w:style w:type="paragraph" w:customStyle="1" w:styleId="a0">
    <w:name w:val="字母编号列项（一级）"/>
    <w:pPr>
      <w:numPr>
        <w:numId w:val="3"/>
      </w:numPr>
      <w:jc w:val="both"/>
    </w:pPr>
    <w:rPr>
      <w:rFonts w:ascii="宋体" w:eastAsia="宋体" w:hAnsi="Times New Roman" w:cs="Times New Roman"/>
      <w:sz w:val="21"/>
    </w:rPr>
  </w:style>
  <w:style w:type="paragraph" w:customStyle="1" w:styleId="a1">
    <w:name w:val="数字编号列项（二级）"/>
    <w:pPr>
      <w:numPr>
        <w:ilvl w:val="1"/>
        <w:numId w:val="3"/>
      </w:numPr>
      <w:jc w:val="both"/>
    </w:pPr>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E1FC759-6201-4FCF-99E1-5C20B165C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695</Words>
  <Characters>3968</Characters>
  <Application>Microsoft Office Word</Application>
  <DocSecurity>0</DocSecurity>
  <Lines>33</Lines>
  <Paragraphs>9</Paragraphs>
  <ScaleCrop>false</ScaleCrop>
  <Company>Microsoft</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宁 赵</cp:lastModifiedBy>
  <cp:revision>74</cp:revision>
  <dcterms:created xsi:type="dcterms:W3CDTF">2024-02-02T18:01:00Z</dcterms:created>
  <dcterms:modified xsi:type="dcterms:W3CDTF">2025-11-04T14:02:00Z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2052-6.15.1.8935</vt:lpwstr>
  </property>
  <property fmtid="{D5CDD505-2E9C-101B-9397-08002B2CF9AE}" pid="3" name="ICV">
    <vt:lpwstr>336622573F4C71DCE5B708699D1B0E31_42</vt:lpwstr>
  </property>
</Properties>
</file>