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45843" w14:textId="77777777" w:rsidR="009220F6" w:rsidRDefault="009220F6"/>
    <w:p w14:paraId="16AB0252" w14:textId="77777777" w:rsidR="009220F6" w:rsidRDefault="009220F6">
      <w:pPr>
        <w:widowControl/>
        <w:rPr>
          <w:sz w:val="28"/>
          <w:szCs w:val="28"/>
        </w:rPr>
      </w:pPr>
    </w:p>
    <w:p w14:paraId="3984C08E" w14:textId="77777777" w:rsidR="009220F6" w:rsidRDefault="009220F6">
      <w:pPr>
        <w:widowControl/>
        <w:rPr>
          <w:sz w:val="28"/>
          <w:szCs w:val="28"/>
        </w:rPr>
      </w:pPr>
    </w:p>
    <w:p w14:paraId="34DBED57" w14:textId="77777777" w:rsidR="009220F6" w:rsidRDefault="00000000">
      <w:pPr>
        <w:widowControl/>
        <w:jc w:val="center"/>
        <w:rPr>
          <w:rFonts w:ascii="黑体" w:eastAsia="黑体" w:hAnsi="黑体" w:hint="eastAsia"/>
          <w:b/>
          <w:sz w:val="44"/>
          <w:szCs w:val="44"/>
        </w:rPr>
      </w:pPr>
      <w:r>
        <w:rPr>
          <w:rFonts w:ascii="黑体" w:eastAsia="黑体" w:hAnsi="黑体" w:hint="eastAsia"/>
          <w:b/>
          <w:sz w:val="44"/>
          <w:szCs w:val="44"/>
        </w:rPr>
        <w:t>中国港口协会团体</w:t>
      </w:r>
      <w:r>
        <w:rPr>
          <w:rFonts w:ascii="黑体" w:eastAsia="黑体" w:hAnsi="黑体"/>
          <w:b/>
          <w:sz w:val="44"/>
          <w:szCs w:val="44"/>
        </w:rPr>
        <w:t>标准</w:t>
      </w:r>
    </w:p>
    <w:p w14:paraId="58130553" w14:textId="77777777" w:rsidR="009220F6" w:rsidRDefault="00000000">
      <w:pPr>
        <w:spacing w:line="360" w:lineRule="auto"/>
        <w:jc w:val="center"/>
        <w:rPr>
          <w:rFonts w:ascii="黑体" w:eastAsia="黑体" w:hAnsi="黑体" w:hint="eastAsia"/>
          <w:b/>
          <w:sz w:val="44"/>
          <w:szCs w:val="44"/>
        </w:rPr>
      </w:pPr>
      <w:r>
        <w:rPr>
          <w:rFonts w:ascii="黑体" w:eastAsia="黑体" w:hAnsi="黑体" w:hint="eastAsia"/>
          <w:b/>
          <w:sz w:val="44"/>
          <w:szCs w:val="44"/>
        </w:rPr>
        <w:t>卸船机自动化系统技术要求</w:t>
      </w:r>
    </w:p>
    <w:p w14:paraId="6CC01332" w14:textId="77777777" w:rsidR="009220F6" w:rsidRDefault="00000000">
      <w:pPr>
        <w:spacing w:line="360" w:lineRule="auto"/>
        <w:jc w:val="center"/>
        <w:rPr>
          <w:rFonts w:ascii="黑体" w:eastAsia="黑体" w:hAnsi="黑体" w:hint="eastAsia"/>
          <w:b/>
          <w:sz w:val="44"/>
          <w:szCs w:val="44"/>
        </w:rPr>
      </w:pPr>
      <w:r>
        <w:rPr>
          <w:rFonts w:ascii="黑体" w:eastAsia="黑体" w:hAnsi="黑体" w:hint="eastAsia"/>
          <w:b/>
          <w:sz w:val="44"/>
          <w:szCs w:val="44"/>
        </w:rPr>
        <w:t>（征求意见稿）</w:t>
      </w:r>
    </w:p>
    <w:p w14:paraId="1FAD6166" w14:textId="77777777" w:rsidR="009220F6" w:rsidRDefault="00000000">
      <w:pPr>
        <w:widowControl/>
        <w:jc w:val="center"/>
        <w:rPr>
          <w:rFonts w:ascii="黑体" w:eastAsia="黑体" w:hAnsi="黑体" w:hint="eastAsia"/>
          <w:b/>
          <w:sz w:val="44"/>
          <w:szCs w:val="44"/>
        </w:rPr>
      </w:pPr>
      <w:r>
        <w:rPr>
          <w:rFonts w:ascii="黑体" w:eastAsia="黑体" w:hAnsi="黑体"/>
          <w:b/>
          <w:sz w:val="44"/>
          <w:szCs w:val="44"/>
        </w:rPr>
        <w:t>编</w:t>
      </w:r>
      <w:r>
        <w:rPr>
          <w:rFonts w:ascii="黑体" w:eastAsia="黑体" w:hAnsi="黑体" w:hint="eastAsia"/>
          <w:b/>
          <w:sz w:val="44"/>
          <w:szCs w:val="44"/>
        </w:rPr>
        <w:t xml:space="preserve"> </w:t>
      </w:r>
      <w:r>
        <w:rPr>
          <w:rFonts w:ascii="黑体" w:eastAsia="黑体" w:hAnsi="黑体"/>
          <w:b/>
          <w:sz w:val="44"/>
          <w:szCs w:val="44"/>
        </w:rPr>
        <w:t>制</w:t>
      </w:r>
      <w:r>
        <w:rPr>
          <w:rFonts w:ascii="黑体" w:eastAsia="黑体" w:hAnsi="黑体" w:hint="eastAsia"/>
          <w:b/>
          <w:sz w:val="44"/>
          <w:szCs w:val="44"/>
        </w:rPr>
        <w:t xml:space="preserve"> </w:t>
      </w:r>
      <w:r>
        <w:rPr>
          <w:rFonts w:ascii="黑体" w:eastAsia="黑体" w:hAnsi="黑体"/>
          <w:b/>
          <w:sz w:val="44"/>
          <w:szCs w:val="44"/>
        </w:rPr>
        <w:t>说</w:t>
      </w:r>
      <w:r>
        <w:rPr>
          <w:rFonts w:ascii="黑体" w:eastAsia="黑体" w:hAnsi="黑体" w:hint="eastAsia"/>
          <w:b/>
          <w:sz w:val="44"/>
          <w:szCs w:val="44"/>
        </w:rPr>
        <w:t xml:space="preserve"> </w:t>
      </w:r>
      <w:r>
        <w:rPr>
          <w:rFonts w:ascii="黑体" w:eastAsia="黑体" w:hAnsi="黑体"/>
          <w:b/>
          <w:sz w:val="44"/>
          <w:szCs w:val="44"/>
        </w:rPr>
        <w:t>明</w:t>
      </w:r>
    </w:p>
    <w:p w14:paraId="597E3FAC" w14:textId="77777777" w:rsidR="009220F6" w:rsidRDefault="009220F6">
      <w:pPr>
        <w:widowControl/>
        <w:rPr>
          <w:szCs w:val="21"/>
        </w:rPr>
      </w:pPr>
    </w:p>
    <w:p w14:paraId="5B5D9D79" w14:textId="77777777" w:rsidR="009220F6" w:rsidRDefault="009220F6">
      <w:pPr>
        <w:widowControl/>
        <w:rPr>
          <w:szCs w:val="21"/>
        </w:rPr>
      </w:pPr>
    </w:p>
    <w:p w14:paraId="316F0BB1" w14:textId="77777777" w:rsidR="009220F6" w:rsidRDefault="009220F6">
      <w:pPr>
        <w:widowControl/>
        <w:rPr>
          <w:szCs w:val="21"/>
        </w:rPr>
      </w:pPr>
    </w:p>
    <w:p w14:paraId="0C204BE3" w14:textId="77777777" w:rsidR="009220F6" w:rsidRDefault="009220F6">
      <w:pPr>
        <w:widowControl/>
        <w:rPr>
          <w:szCs w:val="21"/>
        </w:rPr>
      </w:pPr>
    </w:p>
    <w:p w14:paraId="4E0BFAFC" w14:textId="77777777" w:rsidR="009220F6" w:rsidRDefault="009220F6">
      <w:pPr>
        <w:widowControl/>
        <w:rPr>
          <w:szCs w:val="21"/>
        </w:rPr>
      </w:pPr>
    </w:p>
    <w:p w14:paraId="3CA8863D" w14:textId="77777777" w:rsidR="009220F6" w:rsidRDefault="009220F6">
      <w:pPr>
        <w:widowControl/>
        <w:rPr>
          <w:szCs w:val="21"/>
        </w:rPr>
      </w:pPr>
    </w:p>
    <w:p w14:paraId="2832B332" w14:textId="77777777" w:rsidR="009220F6" w:rsidRDefault="009220F6">
      <w:pPr>
        <w:widowControl/>
        <w:rPr>
          <w:szCs w:val="21"/>
        </w:rPr>
      </w:pPr>
    </w:p>
    <w:p w14:paraId="3C114142" w14:textId="77777777" w:rsidR="009220F6" w:rsidRDefault="009220F6">
      <w:pPr>
        <w:widowControl/>
        <w:rPr>
          <w:szCs w:val="21"/>
        </w:rPr>
      </w:pPr>
    </w:p>
    <w:p w14:paraId="7D014E60" w14:textId="77777777" w:rsidR="009220F6" w:rsidRDefault="009220F6">
      <w:pPr>
        <w:widowControl/>
        <w:rPr>
          <w:szCs w:val="21"/>
        </w:rPr>
      </w:pPr>
    </w:p>
    <w:p w14:paraId="3628AB11" w14:textId="77777777" w:rsidR="009220F6" w:rsidRDefault="009220F6">
      <w:pPr>
        <w:widowControl/>
        <w:rPr>
          <w:szCs w:val="21"/>
        </w:rPr>
      </w:pPr>
    </w:p>
    <w:p w14:paraId="51377E1F" w14:textId="77777777" w:rsidR="009220F6" w:rsidRDefault="009220F6">
      <w:pPr>
        <w:widowControl/>
        <w:rPr>
          <w:szCs w:val="21"/>
        </w:rPr>
      </w:pPr>
    </w:p>
    <w:p w14:paraId="55BF4448" w14:textId="77777777" w:rsidR="009220F6" w:rsidRDefault="009220F6">
      <w:pPr>
        <w:widowControl/>
        <w:jc w:val="center"/>
        <w:rPr>
          <w:rFonts w:ascii="黑体" w:eastAsia="黑体" w:hAnsi="黑体" w:hint="eastAsia"/>
          <w:b/>
          <w:sz w:val="32"/>
          <w:szCs w:val="32"/>
        </w:rPr>
      </w:pPr>
    </w:p>
    <w:p w14:paraId="04A9E5E1" w14:textId="77777777" w:rsidR="009220F6" w:rsidRDefault="009220F6">
      <w:pPr>
        <w:widowControl/>
        <w:jc w:val="center"/>
        <w:rPr>
          <w:rFonts w:ascii="黑体" w:eastAsia="黑体" w:hAnsi="黑体" w:hint="eastAsia"/>
          <w:b/>
          <w:sz w:val="32"/>
          <w:szCs w:val="32"/>
        </w:rPr>
      </w:pPr>
    </w:p>
    <w:p w14:paraId="3FF20EA8" w14:textId="77777777" w:rsidR="009220F6" w:rsidRDefault="009220F6">
      <w:pPr>
        <w:widowControl/>
        <w:jc w:val="center"/>
        <w:rPr>
          <w:rFonts w:ascii="黑体" w:eastAsia="黑体" w:hAnsi="黑体" w:hint="eastAsia"/>
          <w:b/>
          <w:sz w:val="32"/>
          <w:szCs w:val="32"/>
        </w:rPr>
      </w:pPr>
    </w:p>
    <w:p w14:paraId="53D28724" w14:textId="77777777" w:rsidR="009220F6" w:rsidRDefault="009220F6">
      <w:pPr>
        <w:widowControl/>
        <w:jc w:val="center"/>
        <w:rPr>
          <w:rFonts w:ascii="黑体" w:eastAsia="黑体" w:hAnsi="黑体" w:hint="eastAsia"/>
          <w:b/>
          <w:sz w:val="32"/>
          <w:szCs w:val="32"/>
        </w:rPr>
      </w:pPr>
    </w:p>
    <w:p w14:paraId="17DDE479" w14:textId="77777777" w:rsidR="009220F6" w:rsidRDefault="009220F6">
      <w:pPr>
        <w:widowControl/>
        <w:jc w:val="center"/>
        <w:rPr>
          <w:rFonts w:ascii="黑体" w:eastAsia="黑体" w:hAnsi="黑体" w:hint="eastAsia"/>
          <w:b/>
          <w:sz w:val="32"/>
          <w:szCs w:val="32"/>
        </w:rPr>
      </w:pPr>
    </w:p>
    <w:p w14:paraId="2E63B056" w14:textId="77777777" w:rsidR="009220F6" w:rsidRDefault="009220F6">
      <w:pPr>
        <w:widowControl/>
        <w:jc w:val="center"/>
        <w:rPr>
          <w:rFonts w:ascii="黑体" w:eastAsia="黑体" w:hAnsi="黑体" w:hint="eastAsia"/>
          <w:b/>
          <w:sz w:val="32"/>
          <w:szCs w:val="32"/>
        </w:rPr>
      </w:pPr>
    </w:p>
    <w:p w14:paraId="7194CF80" w14:textId="77777777" w:rsidR="009220F6" w:rsidRDefault="009220F6">
      <w:pPr>
        <w:widowControl/>
        <w:jc w:val="center"/>
        <w:rPr>
          <w:rFonts w:ascii="黑体" w:eastAsia="黑体" w:hAnsi="黑体" w:hint="eastAsia"/>
          <w:b/>
          <w:sz w:val="32"/>
          <w:szCs w:val="32"/>
        </w:rPr>
      </w:pPr>
    </w:p>
    <w:p w14:paraId="58EE4806" w14:textId="77777777" w:rsidR="009220F6" w:rsidRDefault="00000000">
      <w:pPr>
        <w:widowControl/>
        <w:jc w:val="center"/>
        <w:rPr>
          <w:rFonts w:ascii="黑体" w:eastAsia="黑体" w:hAnsi="黑体" w:hint="eastAsia"/>
          <w:b/>
          <w:sz w:val="32"/>
          <w:szCs w:val="32"/>
        </w:rPr>
      </w:pPr>
      <w:r>
        <w:rPr>
          <w:rFonts w:ascii="黑体" w:eastAsia="黑体" w:hAnsi="黑体"/>
          <w:b/>
          <w:sz w:val="32"/>
          <w:szCs w:val="32"/>
        </w:rPr>
        <w:t>标准起草组</w:t>
      </w:r>
    </w:p>
    <w:p w14:paraId="484DE313" w14:textId="77777777" w:rsidR="009220F6" w:rsidRDefault="00000000">
      <w:pPr>
        <w:widowControl/>
        <w:jc w:val="center"/>
        <w:rPr>
          <w:rFonts w:ascii="黑体" w:eastAsia="黑体" w:hAnsi="黑体" w:cs="Arial" w:hint="eastAsia"/>
          <w:b/>
          <w:sz w:val="32"/>
          <w:szCs w:val="32"/>
        </w:rPr>
      </w:pPr>
      <w:r>
        <w:rPr>
          <w:rFonts w:ascii="黑体" w:eastAsia="黑体" w:hAnsi="黑体" w:cs="Arial"/>
          <w:b/>
          <w:sz w:val="32"/>
          <w:szCs w:val="32"/>
        </w:rPr>
        <w:t>2025年</w:t>
      </w:r>
      <w:r>
        <w:rPr>
          <w:rFonts w:ascii="黑体" w:eastAsia="黑体" w:hAnsi="黑体" w:cs="Arial" w:hint="eastAsia"/>
          <w:b/>
          <w:sz w:val="32"/>
          <w:szCs w:val="32"/>
        </w:rPr>
        <w:t xml:space="preserve">9 </w:t>
      </w:r>
      <w:r>
        <w:rPr>
          <w:rFonts w:ascii="黑体" w:eastAsia="黑体" w:hAnsi="黑体" w:cs="Arial"/>
          <w:b/>
          <w:sz w:val="32"/>
          <w:szCs w:val="32"/>
        </w:rPr>
        <w:t>月</w:t>
      </w:r>
      <w:r>
        <w:rPr>
          <w:rFonts w:ascii="黑体" w:eastAsia="黑体" w:hAnsi="黑体" w:cs="Arial" w:hint="eastAsia"/>
          <w:b/>
          <w:sz w:val="32"/>
          <w:szCs w:val="32"/>
        </w:rPr>
        <w:t xml:space="preserve"> 10</w:t>
      </w:r>
      <w:r>
        <w:rPr>
          <w:rFonts w:ascii="黑体" w:eastAsia="黑体" w:hAnsi="黑体" w:cs="Arial"/>
          <w:b/>
          <w:sz w:val="32"/>
          <w:szCs w:val="32"/>
        </w:rPr>
        <w:t>日</w:t>
      </w:r>
    </w:p>
    <w:p w14:paraId="6F0D2205" w14:textId="77777777" w:rsidR="009220F6" w:rsidRDefault="009220F6"/>
    <w:p w14:paraId="65DF1D04" w14:textId="77777777" w:rsidR="009220F6" w:rsidRDefault="009220F6">
      <w:pPr>
        <w:sectPr w:rsidR="009220F6">
          <w:headerReference w:type="even" r:id="rId8"/>
          <w:headerReference w:type="default" r:id="rId9"/>
          <w:footerReference w:type="even" r:id="rId10"/>
          <w:footerReference w:type="default" r:id="rId11"/>
          <w:headerReference w:type="first" r:id="rId12"/>
          <w:footerReference w:type="first" r:id="rId13"/>
          <w:pgSz w:w="11906" w:h="16838"/>
          <w:pgMar w:top="1588" w:right="1814" w:bottom="1588" w:left="1814" w:header="851" w:footer="992" w:gutter="0"/>
          <w:cols w:space="425"/>
          <w:titlePg/>
          <w:docGrid w:type="lines" w:linePitch="312"/>
        </w:sectPr>
      </w:pPr>
    </w:p>
    <w:sdt>
      <w:sdtPr>
        <w:rPr>
          <w:rFonts w:ascii="Times New Roman" w:eastAsia="宋体" w:hAnsi="Times New Roman" w:cs="Times New Roman"/>
          <w:b w:val="0"/>
          <w:bCs w:val="0"/>
          <w:color w:val="auto"/>
          <w:kern w:val="2"/>
          <w:sz w:val="21"/>
          <w:szCs w:val="20"/>
          <w:lang w:val="zh-CN"/>
        </w:rPr>
        <w:id w:val="262339798"/>
        <w:docPartObj>
          <w:docPartGallery w:val="Table of Contents"/>
          <w:docPartUnique/>
        </w:docPartObj>
      </w:sdtPr>
      <w:sdtEndPr>
        <w:rPr>
          <w:rFonts w:ascii="宋体" w:hAnsi="宋体"/>
          <w:sz w:val="24"/>
          <w:szCs w:val="24"/>
          <w:lang w:val="en-US"/>
        </w:rPr>
      </w:sdtEndPr>
      <w:sdtContent>
        <w:p w14:paraId="3B68FE64" w14:textId="77777777" w:rsidR="009220F6" w:rsidRDefault="00000000">
          <w:pPr>
            <w:pStyle w:val="TOC10"/>
            <w:spacing w:before="0"/>
            <w:jc w:val="center"/>
            <w:rPr>
              <w:color w:val="auto"/>
            </w:rPr>
          </w:pPr>
          <w:r>
            <w:rPr>
              <w:color w:val="auto"/>
              <w:lang w:val="zh-CN"/>
            </w:rPr>
            <w:t>目</w:t>
          </w:r>
          <w:r>
            <w:rPr>
              <w:rFonts w:hint="eastAsia"/>
              <w:color w:val="auto"/>
              <w:lang w:val="zh-CN"/>
            </w:rPr>
            <w:t xml:space="preserve"> </w:t>
          </w:r>
          <w:r>
            <w:rPr>
              <w:color w:val="auto"/>
              <w:lang w:val="zh-CN"/>
            </w:rPr>
            <w:t xml:space="preserve">  </w:t>
          </w:r>
          <w:r>
            <w:rPr>
              <w:color w:val="auto"/>
              <w:lang w:val="zh-CN"/>
            </w:rPr>
            <w:t>录</w:t>
          </w:r>
        </w:p>
        <w:p w14:paraId="45F4174C" w14:textId="77777777" w:rsidR="009220F6" w:rsidRDefault="00000000">
          <w:pPr>
            <w:pStyle w:val="TOC1"/>
            <w:tabs>
              <w:tab w:val="right" w:leader="dot" w:pos="8268"/>
            </w:tabs>
            <w:spacing w:line="360" w:lineRule="auto"/>
            <w:rPr>
              <w:rFonts w:ascii="宋体" w:hAnsi="宋体" w:cstheme="minorBidi" w:hint="eastAsia"/>
              <w:b w:val="0"/>
              <w:bCs w:val="0"/>
              <w:caps w:val="0"/>
              <w:sz w:val="22"/>
              <w:szCs w:val="22"/>
            </w:rPr>
          </w:pPr>
          <w:r>
            <w:rPr>
              <w:rFonts w:ascii="宋体" w:hAnsi="宋体"/>
              <w:b w:val="0"/>
              <w:bCs w:val="0"/>
              <w:sz w:val="24"/>
              <w:szCs w:val="24"/>
            </w:rPr>
            <w:fldChar w:fldCharType="begin"/>
          </w:r>
          <w:r>
            <w:rPr>
              <w:rFonts w:ascii="宋体" w:hAnsi="宋体"/>
              <w:b w:val="0"/>
              <w:bCs w:val="0"/>
              <w:sz w:val="24"/>
              <w:szCs w:val="24"/>
            </w:rPr>
            <w:instrText>TOC \o "1-3" \h \z \u</w:instrText>
          </w:r>
          <w:r>
            <w:rPr>
              <w:rFonts w:ascii="宋体" w:hAnsi="宋体"/>
              <w:b w:val="0"/>
              <w:bCs w:val="0"/>
              <w:sz w:val="24"/>
              <w:szCs w:val="24"/>
            </w:rPr>
            <w:fldChar w:fldCharType="separate"/>
          </w:r>
          <w:hyperlink w:anchor="_Toc46098150" w:history="1">
            <w:r>
              <w:rPr>
                <w:rStyle w:val="af8"/>
                <w:rFonts w:ascii="宋体" w:hAnsi="宋体"/>
                <w:b w:val="0"/>
                <w:bCs w:val="0"/>
                <w:color w:val="auto"/>
                <w:sz w:val="22"/>
                <w:szCs w:val="22"/>
              </w:rPr>
              <w:t>一、工</w:t>
            </w:r>
            <w:r>
              <w:rPr>
                <w:rStyle w:val="af8"/>
                <w:rFonts w:ascii="宋体" w:hAnsi="宋体" w:cs="Arial"/>
                <w:b w:val="0"/>
                <w:bCs w:val="0"/>
                <w:color w:val="auto"/>
                <w:sz w:val="22"/>
                <w:szCs w:val="22"/>
              </w:rPr>
              <w:t>作简况</w:t>
            </w:r>
            <w:r>
              <w:rPr>
                <w:rFonts w:ascii="宋体" w:hAnsi="宋体"/>
                <w:b w:val="0"/>
                <w:bCs w:val="0"/>
                <w:sz w:val="22"/>
                <w:szCs w:val="22"/>
              </w:rPr>
              <w:tab/>
            </w:r>
            <w:r>
              <w:rPr>
                <w:rFonts w:ascii="宋体" w:hAnsi="宋体"/>
                <w:b w:val="0"/>
                <w:bCs w:val="0"/>
                <w:sz w:val="22"/>
                <w:szCs w:val="22"/>
              </w:rPr>
              <w:fldChar w:fldCharType="begin"/>
            </w:r>
            <w:r>
              <w:rPr>
                <w:rFonts w:ascii="宋体" w:hAnsi="宋体"/>
                <w:b w:val="0"/>
                <w:bCs w:val="0"/>
                <w:sz w:val="22"/>
                <w:szCs w:val="22"/>
              </w:rPr>
              <w:instrText xml:space="preserve"> PAGEREF _Toc46098150 \h </w:instrText>
            </w:r>
            <w:r>
              <w:rPr>
                <w:rFonts w:ascii="宋体" w:hAnsi="宋体"/>
                <w:b w:val="0"/>
                <w:bCs w:val="0"/>
                <w:sz w:val="22"/>
                <w:szCs w:val="22"/>
              </w:rPr>
            </w:r>
            <w:r>
              <w:rPr>
                <w:rFonts w:ascii="宋体" w:hAnsi="宋体"/>
                <w:b w:val="0"/>
                <w:bCs w:val="0"/>
                <w:sz w:val="22"/>
                <w:szCs w:val="22"/>
              </w:rPr>
              <w:fldChar w:fldCharType="separate"/>
            </w:r>
            <w:r>
              <w:rPr>
                <w:rFonts w:ascii="宋体" w:hAnsi="宋体"/>
                <w:b w:val="0"/>
                <w:bCs w:val="0"/>
                <w:sz w:val="22"/>
                <w:szCs w:val="22"/>
              </w:rPr>
              <w:t>1</w:t>
            </w:r>
            <w:r>
              <w:rPr>
                <w:rFonts w:ascii="宋体" w:hAnsi="宋体"/>
                <w:b w:val="0"/>
                <w:bCs w:val="0"/>
                <w:sz w:val="22"/>
                <w:szCs w:val="22"/>
              </w:rPr>
              <w:fldChar w:fldCharType="end"/>
            </w:r>
          </w:hyperlink>
        </w:p>
        <w:p w14:paraId="402E97B3" w14:textId="77777777" w:rsidR="009220F6" w:rsidRDefault="00000000">
          <w:pPr>
            <w:pStyle w:val="TOC1"/>
            <w:tabs>
              <w:tab w:val="right" w:leader="dot" w:pos="8268"/>
            </w:tabs>
            <w:spacing w:line="360" w:lineRule="auto"/>
            <w:rPr>
              <w:rFonts w:ascii="宋体" w:hAnsi="宋体" w:cstheme="minorBidi" w:hint="eastAsia"/>
              <w:b w:val="0"/>
              <w:bCs w:val="0"/>
              <w:caps w:val="0"/>
              <w:sz w:val="22"/>
              <w:szCs w:val="22"/>
            </w:rPr>
          </w:pPr>
          <w:hyperlink w:anchor="_Toc46098151" w:history="1">
            <w:r>
              <w:rPr>
                <w:rStyle w:val="af8"/>
                <w:rFonts w:ascii="宋体" w:hAnsi="宋体"/>
                <w:b w:val="0"/>
                <w:bCs w:val="0"/>
                <w:color w:val="auto"/>
                <w:sz w:val="22"/>
                <w:szCs w:val="22"/>
              </w:rPr>
              <w:t>二、标准编制原则和确定标准主要内容的依据</w:t>
            </w:r>
            <w:r>
              <w:rPr>
                <w:rFonts w:ascii="宋体" w:hAnsi="宋体"/>
                <w:b w:val="0"/>
                <w:bCs w:val="0"/>
                <w:sz w:val="22"/>
                <w:szCs w:val="22"/>
              </w:rPr>
              <w:tab/>
            </w:r>
            <w:r>
              <w:rPr>
                <w:rFonts w:ascii="宋体" w:hAnsi="宋体"/>
                <w:b w:val="0"/>
                <w:bCs w:val="0"/>
                <w:sz w:val="22"/>
                <w:szCs w:val="22"/>
              </w:rPr>
              <w:fldChar w:fldCharType="begin"/>
            </w:r>
            <w:r>
              <w:rPr>
                <w:rFonts w:ascii="宋体" w:hAnsi="宋体"/>
                <w:b w:val="0"/>
                <w:bCs w:val="0"/>
                <w:sz w:val="22"/>
                <w:szCs w:val="22"/>
              </w:rPr>
              <w:instrText xml:space="preserve"> PAGEREF _Toc46098151 \h </w:instrText>
            </w:r>
            <w:r>
              <w:rPr>
                <w:rFonts w:ascii="宋体" w:hAnsi="宋体"/>
                <w:b w:val="0"/>
                <w:bCs w:val="0"/>
                <w:sz w:val="22"/>
                <w:szCs w:val="22"/>
              </w:rPr>
            </w:r>
            <w:r>
              <w:rPr>
                <w:rFonts w:ascii="宋体" w:hAnsi="宋体"/>
                <w:b w:val="0"/>
                <w:bCs w:val="0"/>
                <w:sz w:val="22"/>
                <w:szCs w:val="22"/>
              </w:rPr>
              <w:fldChar w:fldCharType="separate"/>
            </w:r>
            <w:r>
              <w:rPr>
                <w:rFonts w:ascii="宋体" w:hAnsi="宋体"/>
                <w:b w:val="0"/>
                <w:bCs w:val="0"/>
                <w:sz w:val="22"/>
                <w:szCs w:val="22"/>
              </w:rPr>
              <w:t>3</w:t>
            </w:r>
            <w:r>
              <w:rPr>
                <w:rFonts w:ascii="宋体" w:hAnsi="宋体"/>
                <w:b w:val="0"/>
                <w:bCs w:val="0"/>
                <w:sz w:val="22"/>
                <w:szCs w:val="22"/>
              </w:rPr>
              <w:fldChar w:fldCharType="end"/>
            </w:r>
          </w:hyperlink>
        </w:p>
        <w:p w14:paraId="567E86BE" w14:textId="77777777" w:rsidR="009220F6" w:rsidRDefault="00000000">
          <w:pPr>
            <w:pStyle w:val="TOC1"/>
            <w:tabs>
              <w:tab w:val="right" w:leader="dot" w:pos="8268"/>
            </w:tabs>
            <w:spacing w:line="360" w:lineRule="auto"/>
            <w:rPr>
              <w:rFonts w:ascii="宋体" w:hAnsi="宋体" w:cstheme="minorBidi" w:hint="eastAsia"/>
              <w:b w:val="0"/>
              <w:bCs w:val="0"/>
              <w:caps w:val="0"/>
              <w:sz w:val="22"/>
              <w:szCs w:val="22"/>
            </w:rPr>
          </w:pPr>
          <w:hyperlink w:anchor="_Toc46098152" w:history="1">
            <w:r>
              <w:rPr>
                <w:rStyle w:val="af8"/>
                <w:rFonts w:ascii="宋体" w:hAnsi="宋体"/>
                <w:b w:val="0"/>
                <w:bCs w:val="0"/>
                <w:color w:val="auto"/>
                <w:sz w:val="22"/>
                <w:szCs w:val="22"/>
              </w:rPr>
              <w:t>三、主要试验（或验证）的分析、综述报告，技术经济论证，预期的经济效果</w:t>
            </w:r>
            <w:r>
              <w:rPr>
                <w:rFonts w:ascii="宋体" w:hAnsi="宋体"/>
                <w:b w:val="0"/>
                <w:bCs w:val="0"/>
                <w:sz w:val="22"/>
                <w:szCs w:val="22"/>
              </w:rPr>
              <w:tab/>
            </w:r>
            <w:r>
              <w:rPr>
                <w:rFonts w:ascii="宋体" w:hAnsi="宋体"/>
                <w:b w:val="0"/>
                <w:bCs w:val="0"/>
                <w:sz w:val="22"/>
                <w:szCs w:val="22"/>
              </w:rPr>
              <w:fldChar w:fldCharType="begin"/>
            </w:r>
            <w:r>
              <w:rPr>
                <w:rFonts w:ascii="宋体" w:hAnsi="宋体"/>
                <w:b w:val="0"/>
                <w:bCs w:val="0"/>
                <w:sz w:val="22"/>
                <w:szCs w:val="22"/>
              </w:rPr>
              <w:instrText xml:space="preserve"> PAGEREF _Toc46098152 \h </w:instrText>
            </w:r>
            <w:r>
              <w:rPr>
                <w:rFonts w:ascii="宋体" w:hAnsi="宋体"/>
                <w:b w:val="0"/>
                <w:bCs w:val="0"/>
                <w:sz w:val="22"/>
                <w:szCs w:val="22"/>
              </w:rPr>
            </w:r>
            <w:r>
              <w:rPr>
                <w:rFonts w:ascii="宋体" w:hAnsi="宋体"/>
                <w:b w:val="0"/>
                <w:bCs w:val="0"/>
                <w:sz w:val="22"/>
                <w:szCs w:val="22"/>
              </w:rPr>
              <w:fldChar w:fldCharType="separate"/>
            </w:r>
            <w:r>
              <w:rPr>
                <w:rFonts w:ascii="宋体" w:hAnsi="宋体"/>
                <w:b w:val="0"/>
                <w:bCs w:val="0"/>
                <w:sz w:val="22"/>
                <w:szCs w:val="22"/>
              </w:rPr>
              <w:t>6</w:t>
            </w:r>
            <w:r>
              <w:rPr>
                <w:rFonts w:ascii="宋体" w:hAnsi="宋体"/>
                <w:b w:val="0"/>
                <w:bCs w:val="0"/>
                <w:sz w:val="22"/>
                <w:szCs w:val="22"/>
              </w:rPr>
              <w:fldChar w:fldCharType="end"/>
            </w:r>
          </w:hyperlink>
        </w:p>
        <w:p w14:paraId="4F040342" w14:textId="77777777" w:rsidR="009220F6" w:rsidRDefault="00000000">
          <w:pPr>
            <w:pStyle w:val="TOC1"/>
            <w:tabs>
              <w:tab w:val="right" w:leader="dot" w:pos="8268"/>
            </w:tabs>
            <w:spacing w:line="360" w:lineRule="auto"/>
            <w:rPr>
              <w:rFonts w:ascii="宋体" w:hAnsi="宋体" w:cstheme="minorBidi" w:hint="eastAsia"/>
              <w:b w:val="0"/>
              <w:bCs w:val="0"/>
              <w:caps w:val="0"/>
              <w:sz w:val="22"/>
              <w:szCs w:val="22"/>
            </w:rPr>
          </w:pPr>
          <w:hyperlink w:anchor="_Toc46098153" w:history="1">
            <w:r>
              <w:rPr>
                <w:rStyle w:val="af8"/>
                <w:rFonts w:ascii="宋体" w:hAnsi="宋体"/>
                <w:b w:val="0"/>
                <w:bCs w:val="0"/>
                <w:color w:val="auto"/>
                <w:sz w:val="22"/>
                <w:szCs w:val="22"/>
              </w:rPr>
              <w:t>四、采用国际标准和国外先进标准的程度</w:t>
            </w:r>
            <w:r>
              <w:rPr>
                <w:rFonts w:ascii="宋体" w:hAnsi="宋体"/>
                <w:b w:val="0"/>
                <w:bCs w:val="0"/>
                <w:sz w:val="22"/>
                <w:szCs w:val="22"/>
              </w:rPr>
              <w:tab/>
            </w:r>
            <w:r>
              <w:rPr>
                <w:rFonts w:ascii="宋体" w:hAnsi="宋体"/>
                <w:b w:val="0"/>
                <w:bCs w:val="0"/>
                <w:sz w:val="22"/>
                <w:szCs w:val="22"/>
              </w:rPr>
              <w:fldChar w:fldCharType="begin"/>
            </w:r>
            <w:r>
              <w:rPr>
                <w:rFonts w:ascii="宋体" w:hAnsi="宋体"/>
                <w:b w:val="0"/>
                <w:bCs w:val="0"/>
                <w:sz w:val="22"/>
                <w:szCs w:val="22"/>
              </w:rPr>
              <w:instrText xml:space="preserve"> PAGEREF _Toc46098153 \h </w:instrText>
            </w:r>
            <w:r>
              <w:rPr>
                <w:rFonts w:ascii="宋体" w:hAnsi="宋体"/>
                <w:b w:val="0"/>
                <w:bCs w:val="0"/>
                <w:sz w:val="22"/>
                <w:szCs w:val="22"/>
              </w:rPr>
            </w:r>
            <w:r>
              <w:rPr>
                <w:rFonts w:ascii="宋体" w:hAnsi="宋体"/>
                <w:b w:val="0"/>
                <w:bCs w:val="0"/>
                <w:sz w:val="22"/>
                <w:szCs w:val="22"/>
              </w:rPr>
              <w:fldChar w:fldCharType="separate"/>
            </w:r>
            <w:r>
              <w:rPr>
                <w:rFonts w:ascii="宋体" w:hAnsi="宋体"/>
                <w:b w:val="0"/>
                <w:bCs w:val="0"/>
                <w:sz w:val="22"/>
                <w:szCs w:val="22"/>
              </w:rPr>
              <w:t>10</w:t>
            </w:r>
            <w:r>
              <w:rPr>
                <w:rFonts w:ascii="宋体" w:hAnsi="宋体"/>
                <w:b w:val="0"/>
                <w:bCs w:val="0"/>
                <w:sz w:val="22"/>
                <w:szCs w:val="22"/>
              </w:rPr>
              <w:fldChar w:fldCharType="end"/>
            </w:r>
          </w:hyperlink>
        </w:p>
        <w:p w14:paraId="67FDEBD1" w14:textId="77777777" w:rsidR="009220F6" w:rsidRDefault="00000000">
          <w:pPr>
            <w:pStyle w:val="TOC1"/>
            <w:tabs>
              <w:tab w:val="right" w:leader="dot" w:pos="8268"/>
            </w:tabs>
            <w:spacing w:line="360" w:lineRule="auto"/>
            <w:rPr>
              <w:rFonts w:ascii="宋体" w:hAnsi="宋体" w:cstheme="minorBidi" w:hint="eastAsia"/>
              <w:b w:val="0"/>
              <w:bCs w:val="0"/>
              <w:caps w:val="0"/>
              <w:sz w:val="22"/>
              <w:szCs w:val="22"/>
            </w:rPr>
          </w:pPr>
          <w:hyperlink w:anchor="_Toc46098154" w:history="1">
            <w:r>
              <w:rPr>
                <w:rStyle w:val="af8"/>
                <w:rFonts w:ascii="宋体" w:hAnsi="宋体"/>
                <w:b w:val="0"/>
                <w:bCs w:val="0"/>
                <w:color w:val="auto"/>
                <w:sz w:val="22"/>
                <w:szCs w:val="22"/>
              </w:rPr>
              <w:t>五、与有关的现行法律、法规和强制性标准的关系</w:t>
            </w:r>
            <w:r>
              <w:rPr>
                <w:rFonts w:ascii="宋体" w:hAnsi="宋体"/>
                <w:b w:val="0"/>
                <w:bCs w:val="0"/>
                <w:sz w:val="22"/>
                <w:szCs w:val="22"/>
              </w:rPr>
              <w:tab/>
            </w:r>
            <w:r>
              <w:rPr>
                <w:rFonts w:ascii="宋体" w:hAnsi="宋体"/>
                <w:b w:val="0"/>
                <w:bCs w:val="0"/>
                <w:sz w:val="22"/>
                <w:szCs w:val="22"/>
              </w:rPr>
              <w:fldChar w:fldCharType="begin"/>
            </w:r>
            <w:r>
              <w:rPr>
                <w:rFonts w:ascii="宋体" w:hAnsi="宋体"/>
                <w:b w:val="0"/>
                <w:bCs w:val="0"/>
                <w:sz w:val="22"/>
                <w:szCs w:val="22"/>
              </w:rPr>
              <w:instrText xml:space="preserve"> PAGEREF _Toc46098154 \h </w:instrText>
            </w:r>
            <w:r>
              <w:rPr>
                <w:rFonts w:ascii="宋体" w:hAnsi="宋体"/>
                <w:b w:val="0"/>
                <w:bCs w:val="0"/>
                <w:sz w:val="22"/>
                <w:szCs w:val="22"/>
              </w:rPr>
            </w:r>
            <w:r>
              <w:rPr>
                <w:rFonts w:ascii="宋体" w:hAnsi="宋体"/>
                <w:b w:val="0"/>
                <w:bCs w:val="0"/>
                <w:sz w:val="22"/>
                <w:szCs w:val="22"/>
              </w:rPr>
              <w:fldChar w:fldCharType="separate"/>
            </w:r>
            <w:r>
              <w:rPr>
                <w:rFonts w:ascii="宋体" w:hAnsi="宋体"/>
                <w:b w:val="0"/>
                <w:bCs w:val="0"/>
                <w:sz w:val="22"/>
                <w:szCs w:val="22"/>
              </w:rPr>
              <w:t>11</w:t>
            </w:r>
            <w:r>
              <w:rPr>
                <w:rFonts w:ascii="宋体" w:hAnsi="宋体"/>
                <w:b w:val="0"/>
                <w:bCs w:val="0"/>
                <w:sz w:val="22"/>
                <w:szCs w:val="22"/>
              </w:rPr>
              <w:fldChar w:fldCharType="end"/>
            </w:r>
          </w:hyperlink>
        </w:p>
        <w:p w14:paraId="134C9FE6" w14:textId="77777777" w:rsidR="009220F6" w:rsidRDefault="00000000">
          <w:pPr>
            <w:pStyle w:val="TOC1"/>
            <w:tabs>
              <w:tab w:val="right" w:leader="dot" w:pos="8268"/>
            </w:tabs>
            <w:spacing w:line="360" w:lineRule="auto"/>
            <w:rPr>
              <w:rFonts w:ascii="宋体" w:hAnsi="宋体" w:cstheme="minorBidi" w:hint="eastAsia"/>
              <w:b w:val="0"/>
              <w:bCs w:val="0"/>
              <w:caps w:val="0"/>
              <w:sz w:val="22"/>
              <w:szCs w:val="22"/>
            </w:rPr>
          </w:pPr>
          <w:hyperlink w:anchor="_Toc46098155" w:history="1">
            <w:r>
              <w:rPr>
                <w:rStyle w:val="af8"/>
                <w:rFonts w:ascii="宋体" w:hAnsi="宋体"/>
                <w:b w:val="0"/>
                <w:bCs w:val="0"/>
                <w:color w:val="auto"/>
                <w:sz w:val="22"/>
                <w:szCs w:val="22"/>
              </w:rPr>
              <w:t>六、重大分歧意见的处理经过和依据</w:t>
            </w:r>
            <w:r>
              <w:rPr>
                <w:rFonts w:ascii="宋体" w:hAnsi="宋体"/>
                <w:b w:val="0"/>
                <w:bCs w:val="0"/>
                <w:sz w:val="22"/>
                <w:szCs w:val="22"/>
              </w:rPr>
              <w:tab/>
            </w:r>
            <w:r>
              <w:rPr>
                <w:rFonts w:ascii="宋体" w:hAnsi="宋体"/>
                <w:b w:val="0"/>
                <w:bCs w:val="0"/>
                <w:sz w:val="22"/>
                <w:szCs w:val="22"/>
              </w:rPr>
              <w:fldChar w:fldCharType="begin"/>
            </w:r>
            <w:r>
              <w:rPr>
                <w:rFonts w:ascii="宋体" w:hAnsi="宋体"/>
                <w:b w:val="0"/>
                <w:bCs w:val="0"/>
                <w:sz w:val="22"/>
                <w:szCs w:val="22"/>
              </w:rPr>
              <w:instrText xml:space="preserve"> PAGEREF _Toc46098155 \h </w:instrText>
            </w:r>
            <w:r>
              <w:rPr>
                <w:rFonts w:ascii="宋体" w:hAnsi="宋体"/>
                <w:b w:val="0"/>
                <w:bCs w:val="0"/>
                <w:sz w:val="22"/>
                <w:szCs w:val="22"/>
              </w:rPr>
            </w:r>
            <w:r>
              <w:rPr>
                <w:rFonts w:ascii="宋体" w:hAnsi="宋体"/>
                <w:b w:val="0"/>
                <w:bCs w:val="0"/>
                <w:sz w:val="22"/>
                <w:szCs w:val="22"/>
              </w:rPr>
              <w:fldChar w:fldCharType="separate"/>
            </w:r>
            <w:r>
              <w:rPr>
                <w:rFonts w:ascii="宋体" w:hAnsi="宋体"/>
                <w:b w:val="0"/>
                <w:bCs w:val="0"/>
                <w:sz w:val="22"/>
                <w:szCs w:val="22"/>
              </w:rPr>
              <w:t>11</w:t>
            </w:r>
            <w:r>
              <w:rPr>
                <w:rFonts w:ascii="宋体" w:hAnsi="宋体"/>
                <w:b w:val="0"/>
                <w:bCs w:val="0"/>
                <w:sz w:val="22"/>
                <w:szCs w:val="22"/>
              </w:rPr>
              <w:fldChar w:fldCharType="end"/>
            </w:r>
          </w:hyperlink>
        </w:p>
        <w:p w14:paraId="7D9EEE67" w14:textId="77777777" w:rsidR="009220F6" w:rsidRDefault="00000000">
          <w:pPr>
            <w:pStyle w:val="TOC1"/>
            <w:tabs>
              <w:tab w:val="right" w:leader="dot" w:pos="8268"/>
            </w:tabs>
            <w:spacing w:line="360" w:lineRule="auto"/>
            <w:rPr>
              <w:rFonts w:ascii="宋体" w:hAnsi="宋体" w:cstheme="minorBidi" w:hint="eastAsia"/>
              <w:b w:val="0"/>
              <w:bCs w:val="0"/>
              <w:caps w:val="0"/>
              <w:sz w:val="22"/>
              <w:szCs w:val="22"/>
            </w:rPr>
          </w:pPr>
          <w:hyperlink w:anchor="_Toc46098156" w:history="1">
            <w:r>
              <w:rPr>
                <w:rStyle w:val="af8"/>
                <w:rFonts w:ascii="宋体" w:hAnsi="宋体"/>
                <w:b w:val="0"/>
                <w:bCs w:val="0"/>
                <w:color w:val="auto"/>
                <w:sz w:val="22"/>
                <w:szCs w:val="22"/>
              </w:rPr>
              <w:t>七、贯彻标准的要求和措施建议（包括组织措施、技术措施、过渡办法等内容）</w:t>
            </w:r>
            <w:r>
              <w:rPr>
                <w:rFonts w:ascii="宋体" w:hAnsi="宋体"/>
                <w:b w:val="0"/>
                <w:bCs w:val="0"/>
                <w:sz w:val="22"/>
                <w:szCs w:val="22"/>
              </w:rPr>
              <w:tab/>
            </w:r>
            <w:r>
              <w:rPr>
                <w:rFonts w:ascii="宋体" w:hAnsi="宋体"/>
                <w:b w:val="0"/>
                <w:bCs w:val="0"/>
                <w:sz w:val="22"/>
                <w:szCs w:val="22"/>
              </w:rPr>
              <w:fldChar w:fldCharType="begin"/>
            </w:r>
            <w:r>
              <w:rPr>
                <w:rFonts w:ascii="宋体" w:hAnsi="宋体"/>
                <w:b w:val="0"/>
                <w:bCs w:val="0"/>
                <w:sz w:val="22"/>
                <w:szCs w:val="22"/>
              </w:rPr>
              <w:instrText xml:space="preserve"> PAGEREF _Toc46098156 \h </w:instrText>
            </w:r>
            <w:r>
              <w:rPr>
                <w:rFonts w:ascii="宋体" w:hAnsi="宋体"/>
                <w:b w:val="0"/>
                <w:bCs w:val="0"/>
                <w:sz w:val="22"/>
                <w:szCs w:val="22"/>
              </w:rPr>
            </w:r>
            <w:r>
              <w:rPr>
                <w:rFonts w:ascii="宋体" w:hAnsi="宋体"/>
                <w:b w:val="0"/>
                <w:bCs w:val="0"/>
                <w:sz w:val="22"/>
                <w:szCs w:val="22"/>
              </w:rPr>
              <w:fldChar w:fldCharType="separate"/>
            </w:r>
            <w:r>
              <w:rPr>
                <w:rFonts w:ascii="宋体" w:hAnsi="宋体"/>
                <w:b w:val="0"/>
                <w:bCs w:val="0"/>
                <w:sz w:val="22"/>
                <w:szCs w:val="22"/>
              </w:rPr>
              <w:t>11</w:t>
            </w:r>
            <w:r>
              <w:rPr>
                <w:rFonts w:ascii="宋体" w:hAnsi="宋体"/>
                <w:b w:val="0"/>
                <w:bCs w:val="0"/>
                <w:sz w:val="22"/>
                <w:szCs w:val="22"/>
              </w:rPr>
              <w:fldChar w:fldCharType="end"/>
            </w:r>
          </w:hyperlink>
        </w:p>
        <w:p w14:paraId="552CD9EE" w14:textId="77777777" w:rsidR="009220F6" w:rsidRDefault="00000000">
          <w:pPr>
            <w:pStyle w:val="TOC1"/>
            <w:tabs>
              <w:tab w:val="right" w:leader="dot" w:pos="8268"/>
            </w:tabs>
            <w:spacing w:line="360" w:lineRule="auto"/>
            <w:rPr>
              <w:rFonts w:ascii="宋体" w:hAnsi="宋体" w:cstheme="minorBidi" w:hint="eastAsia"/>
              <w:b w:val="0"/>
              <w:bCs w:val="0"/>
              <w:caps w:val="0"/>
              <w:sz w:val="22"/>
              <w:szCs w:val="22"/>
            </w:rPr>
          </w:pPr>
          <w:hyperlink w:anchor="_Toc46098157" w:history="1">
            <w:r>
              <w:rPr>
                <w:rStyle w:val="af8"/>
                <w:rFonts w:ascii="宋体" w:hAnsi="宋体"/>
                <w:b w:val="0"/>
                <w:bCs w:val="0"/>
                <w:color w:val="auto"/>
                <w:sz w:val="22"/>
                <w:szCs w:val="22"/>
              </w:rPr>
              <w:t>八、废止现行有关标准的建议</w:t>
            </w:r>
            <w:r>
              <w:rPr>
                <w:rFonts w:ascii="宋体" w:hAnsi="宋体"/>
                <w:b w:val="0"/>
                <w:bCs w:val="0"/>
                <w:sz w:val="22"/>
                <w:szCs w:val="22"/>
              </w:rPr>
              <w:tab/>
            </w:r>
            <w:r>
              <w:rPr>
                <w:rFonts w:ascii="宋体" w:hAnsi="宋体"/>
                <w:b w:val="0"/>
                <w:bCs w:val="0"/>
                <w:sz w:val="22"/>
                <w:szCs w:val="22"/>
              </w:rPr>
              <w:fldChar w:fldCharType="begin"/>
            </w:r>
            <w:r>
              <w:rPr>
                <w:rFonts w:ascii="宋体" w:hAnsi="宋体"/>
                <w:b w:val="0"/>
                <w:bCs w:val="0"/>
                <w:sz w:val="22"/>
                <w:szCs w:val="22"/>
              </w:rPr>
              <w:instrText xml:space="preserve"> PAGEREF _Toc46098157 \h </w:instrText>
            </w:r>
            <w:r>
              <w:rPr>
                <w:rFonts w:ascii="宋体" w:hAnsi="宋体"/>
                <w:b w:val="0"/>
                <w:bCs w:val="0"/>
                <w:sz w:val="22"/>
                <w:szCs w:val="22"/>
              </w:rPr>
            </w:r>
            <w:r>
              <w:rPr>
                <w:rFonts w:ascii="宋体" w:hAnsi="宋体"/>
                <w:b w:val="0"/>
                <w:bCs w:val="0"/>
                <w:sz w:val="22"/>
                <w:szCs w:val="22"/>
              </w:rPr>
              <w:fldChar w:fldCharType="separate"/>
            </w:r>
            <w:r>
              <w:rPr>
                <w:rFonts w:ascii="宋体" w:hAnsi="宋体"/>
                <w:b w:val="0"/>
                <w:bCs w:val="0"/>
                <w:sz w:val="22"/>
                <w:szCs w:val="22"/>
              </w:rPr>
              <w:t>11</w:t>
            </w:r>
            <w:r>
              <w:rPr>
                <w:rFonts w:ascii="宋体" w:hAnsi="宋体"/>
                <w:b w:val="0"/>
                <w:bCs w:val="0"/>
                <w:sz w:val="22"/>
                <w:szCs w:val="22"/>
              </w:rPr>
              <w:fldChar w:fldCharType="end"/>
            </w:r>
          </w:hyperlink>
        </w:p>
        <w:p w14:paraId="34B16AAF" w14:textId="77777777" w:rsidR="009220F6" w:rsidRDefault="00000000">
          <w:pPr>
            <w:pStyle w:val="TOC1"/>
            <w:tabs>
              <w:tab w:val="right" w:leader="dot" w:pos="8268"/>
            </w:tabs>
            <w:spacing w:line="360" w:lineRule="auto"/>
            <w:rPr>
              <w:rFonts w:ascii="宋体" w:hAnsi="宋体" w:cstheme="minorBidi" w:hint="eastAsia"/>
              <w:b w:val="0"/>
              <w:bCs w:val="0"/>
              <w:caps w:val="0"/>
              <w:sz w:val="24"/>
              <w:szCs w:val="24"/>
            </w:rPr>
          </w:pPr>
          <w:hyperlink w:anchor="_Toc46098158" w:history="1">
            <w:r>
              <w:rPr>
                <w:rStyle w:val="af8"/>
                <w:rFonts w:ascii="宋体" w:hAnsi="宋体"/>
                <w:b w:val="0"/>
                <w:bCs w:val="0"/>
                <w:color w:val="auto"/>
                <w:sz w:val="22"/>
                <w:szCs w:val="22"/>
              </w:rPr>
              <w:t>九、其他应予说明的事项</w:t>
            </w:r>
            <w:r>
              <w:rPr>
                <w:rFonts w:ascii="宋体" w:hAnsi="宋体"/>
                <w:b w:val="0"/>
                <w:bCs w:val="0"/>
                <w:sz w:val="22"/>
                <w:szCs w:val="22"/>
              </w:rPr>
              <w:tab/>
            </w:r>
            <w:r>
              <w:rPr>
                <w:rFonts w:ascii="宋体" w:hAnsi="宋体"/>
                <w:b w:val="0"/>
                <w:bCs w:val="0"/>
                <w:sz w:val="22"/>
                <w:szCs w:val="22"/>
              </w:rPr>
              <w:fldChar w:fldCharType="begin"/>
            </w:r>
            <w:r>
              <w:rPr>
                <w:rFonts w:ascii="宋体" w:hAnsi="宋体"/>
                <w:b w:val="0"/>
                <w:bCs w:val="0"/>
                <w:sz w:val="22"/>
                <w:szCs w:val="22"/>
              </w:rPr>
              <w:instrText xml:space="preserve"> PAGEREF _Toc46098158 \h </w:instrText>
            </w:r>
            <w:r>
              <w:rPr>
                <w:rFonts w:ascii="宋体" w:hAnsi="宋体"/>
                <w:b w:val="0"/>
                <w:bCs w:val="0"/>
                <w:sz w:val="22"/>
                <w:szCs w:val="22"/>
              </w:rPr>
            </w:r>
            <w:r>
              <w:rPr>
                <w:rFonts w:ascii="宋体" w:hAnsi="宋体"/>
                <w:b w:val="0"/>
                <w:bCs w:val="0"/>
                <w:sz w:val="22"/>
                <w:szCs w:val="22"/>
              </w:rPr>
              <w:fldChar w:fldCharType="separate"/>
            </w:r>
            <w:r>
              <w:rPr>
                <w:rFonts w:ascii="宋体" w:hAnsi="宋体"/>
                <w:b w:val="0"/>
                <w:bCs w:val="0"/>
                <w:sz w:val="22"/>
                <w:szCs w:val="22"/>
              </w:rPr>
              <w:t>11</w:t>
            </w:r>
            <w:r>
              <w:rPr>
                <w:rFonts w:ascii="宋体" w:hAnsi="宋体"/>
                <w:b w:val="0"/>
                <w:bCs w:val="0"/>
                <w:sz w:val="22"/>
                <w:szCs w:val="22"/>
              </w:rPr>
              <w:fldChar w:fldCharType="end"/>
            </w:r>
          </w:hyperlink>
        </w:p>
        <w:p w14:paraId="155692A5" w14:textId="77777777" w:rsidR="009220F6" w:rsidRDefault="00000000">
          <w:pPr>
            <w:spacing w:line="360" w:lineRule="auto"/>
            <w:rPr>
              <w:rFonts w:ascii="宋体" w:hAnsi="宋体" w:hint="eastAsia"/>
              <w:sz w:val="24"/>
              <w:szCs w:val="24"/>
            </w:rPr>
          </w:pPr>
          <w:r>
            <w:rPr>
              <w:rFonts w:ascii="宋体" w:hAnsi="宋体"/>
              <w:sz w:val="24"/>
              <w:szCs w:val="24"/>
            </w:rPr>
            <w:fldChar w:fldCharType="end"/>
          </w:r>
        </w:p>
      </w:sdtContent>
    </w:sdt>
    <w:p w14:paraId="354479F7" w14:textId="77777777" w:rsidR="009220F6" w:rsidRDefault="009220F6">
      <w:pPr>
        <w:spacing w:line="360" w:lineRule="auto"/>
        <w:rPr>
          <w:rFonts w:ascii="黑体" w:eastAsia="黑体" w:hAnsi="黑体" w:hint="eastAsia"/>
          <w:szCs w:val="21"/>
        </w:rPr>
        <w:sectPr w:rsidR="009220F6">
          <w:footerReference w:type="default" r:id="rId14"/>
          <w:pgSz w:w="11906" w:h="16838"/>
          <w:pgMar w:top="1588" w:right="1814" w:bottom="1588" w:left="1814" w:header="851" w:footer="992" w:gutter="0"/>
          <w:cols w:space="425"/>
          <w:titlePg/>
          <w:docGrid w:type="lines" w:linePitch="312"/>
        </w:sectPr>
      </w:pPr>
    </w:p>
    <w:p w14:paraId="1F07D126" w14:textId="77777777" w:rsidR="009220F6" w:rsidRDefault="00000000">
      <w:pPr>
        <w:spacing w:beforeLines="50" w:before="156" w:line="360" w:lineRule="auto"/>
        <w:outlineLvl w:val="0"/>
        <w:rPr>
          <w:rFonts w:asciiTheme="minorEastAsia" w:eastAsiaTheme="minorEastAsia" w:hAnsiTheme="minorEastAsia" w:hint="eastAsia"/>
          <w:b/>
          <w:sz w:val="24"/>
          <w:szCs w:val="24"/>
        </w:rPr>
      </w:pPr>
      <w:bookmarkStart w:id="0" w:name="_Toc483660122"/>
      <w:bookmarkStart w:id="1" w:name="_Toc46098150"/>
      <w:bookmarkStart w:id="2" w:name="_Toc89252253"/>
      <w:r>
        <w:rPr>
          <w:rFonts w:asciiTheme="minorEastAsia" w:eastAsiaTheme="minorEastAsia" w:hAnsiTheme="minorEastAsia" w:hint="eastAsia"/>
          <w:b/>
          <w:sz w:val="24"/>
          <w:szCs w:val="24"/>
        </w:rPr>
        <w:lastRenderedPageBreak/>
        <w:t>一、工</w:t>
      </w:r>
      <w:r>
        <w:rPr>
          <w:rFonts w:asciiTheme="minorEastAsia" w:eastAsiaTheme="minorEastAsia" w:hAnsiTheme="minorEastAsia" w:cs="Arial"/>
          <w:b/>
          <w:sz w:val="24"/>
          <w:szCs w:val="24"/>
        </w:rPr>
        <w:t>作简况</w:t>
      </w:r>
      <w:bookmarkEnd w:id="0"/>
      <w:bookmarkEnd w:id="1"/>
    </w:p>
    <w:p w14:paraId="09EF5F2C" w14:textId="77777777" w:rsidR="009220F6" w:rsidRDefault="00000000">
      <w:pPr>
        <w:spacing w:beforeLines="50" w:before="156" w:line="360" w:lineRule="auto"/>
        <w:outlineLvl w:val="1"/>
        <w:rPr>
          <w:rFonts w:asciiTheme="minorEastAsia" w:eastAsiaTheme="minorEastAsia" w:hAnsiTheme="minorEastAsia" w:hint="eastAsia"/>
          <w:b/>
          <w:sz w:val="24"/>
          <w:szCs w:val="24"/>
        </w:rPr>
      </w:pPr>
      <w:bookmarkStart w:id="3" w:name="_Toc483660123"/>
      <w:bookmarkStart w:id="4" w:name="_Toc26972780"/>
      <w:r>
        <w:rPr>
          <w:rFonts w:asciiTheme="minorEastAsia" w:eastAsiaTheme="minorEastAsia" w:hAnsiTheme="minorEastAsia" w:hint="eastAsia"/>
          <w:b/>
          <w:sz w:val="24"/>
          <w:szCs w:val="24"/>
        </w:rPr>
        <w:t>（一）任务来源</w:t>
      </w:r>
      <w:bookmarkEnd w:id="2"/>
      <w:bookmarkEnd w:id="3"/>
      <w:bookmarkEnd w:id="4"/>
    </w:p>
    <w:p w14:paraId="3F22CF96" w14:textId="77777777" w:rsidR="009220F6" w:rsidRDefault="00000000">
      <w:pPr>
        <w:spacing w:beforeLines="50" w:before="156" w:line="360" w:lineRule="auto"/>
        <w:ind w:firstLine="435"/>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团体标准《卸船机自动化系统技术要求》是根据</w:t>
      </w:r>
      <w:r>
        <w:rPr>
          <w:rFonts w:asciiTheme="minorEastAsia" w:eastAsiaTheme="minorEastAsia" w:hAnsiTheme="minorEastAsia"/>
          <w:sz w:val="24"/>
          <w:szCs w:val="24"/>
        </w:rPr>
        <w:t>202</w:t>
      </w:r>
      <w:r>
        <w:rPr>
          <w:rFonts w:asciiTheme="minorEastAsia" w:eastAsiaTheme="minorEastAsia" w:hAnsiTheme="minorEastAsia" w:hint="eastAsia"/>
          <w:sz w:val="24"/>
          <w:szCs w:val="24"/>
        </w:rPr>
        <w:t>5年中国港口协会团体标准工作计划安排，由</w:t>
      </w:r>
      <w:r>
        <w:rPr>
          <w:rFonts w:ascii="宋体" w:eastAsiaTheme="minorEastAsia" w:hint="eastAsia"/>
          <w:sz w:val="24"/>
          <w:szCs w:val="24"/>
        </w:rPr>
        <w:t>青岛港国际股份有限公司前港分公司</w:t>
      </w:r>
      <w:r>
        <w:rPr>
          <w:rFonts w:asciiTheme="minorEastAsia" w:eastAsiaTheme="minorEastAsia" w:hAnsiTheme="minorEastAsia" w:hint="eastAsia"/>
          <w:sz w:val="24"/>
          <w:szCs w:val="24"/>
        </w:rPr>
        <w:t>牵头起草。</w:t>
      </w:r>
    </w:p>
    <w:p w14:paraId="3582749A" w14:textId="77777777" w:rsidR="009220F6" w:rsidRDefault="00000000">
      <w:pPr>
        <w:spacing w:beforeLines="50" w:before="156" w:line="360" w:lineRule="auto"/>
        <w:outlineLvl w:val="1"/>
        <w:rPr>
          <w:rFonts w:asciiTheme="minorEastAsia" w:eastAsiaTheme="minorEastAsia" w:hAnsiTheme="minorEastAsia" w:hint="eastAsia"/>
          <w:b/>
          <w:sz w:val="24"/>
          <w:szCs w:val="24"/>
        </w:rPr>
      </w:pPr>
      <w:bookmarkStart w:id="5" w:name="_Toc26972781"/>
      <w:r>
        <w:rPr>
          <w:rFonts w:asciiTheme="minorEastAsia" w:eastAsiaTheme="minorEastAsia" w:hAnsiTheme="minorEastAsia" w:hint="eastAsia"/>
          <w:b/>
          <w:sz w:val="24"/>
          <w:szCs w:val="24"/>
        </w:rPr>
        <w:t>（二）起草单位</w:t>
      </w:r>
      <w:bookmarkEnd w:id="5"/>
    </w:p>
    <w:p w14:paraId="68BFF9E1" w14:textId="77777777" w:rsidR="009220F6" w:rsidRDefault="00000000">
      <w:pPr>
        <w:spacing w:beforeLines="50" w:before="156" w:line="360" w:lineRule="auto"/>
        <w:ind w:firstLine="435"/>
        <w:jc w:val="left"/>
        <w:rPr>
          <w:rFonts w:ascii="宋体" w:eastAsiaTheme="minorEastAsia"/>
          <w:sz w:val="24"/>
          <w:szCs w:val="24"/>
        </w:rPr>
      </w:pPr>
      <w:r>
        <w:rPr>
          <w:rFonts w:ascii="宋体" w:eastAsiaTheme="minorEastAsia" w:hint="eastAsia"/>
          <w:sz w:val="24"/>
          <w:szCs w:val="24"/>
        </w:rPr>
        <w:t>标准编写主要由青岛港国际股份有限公司前港分公司负责、协作单位主要为青岛港国际股份有限公司，青岛港董家口矿石码头有限公司，山东朝辉自动化科技有限责任公司。</w:t>
      </w:r>
    </w:p>
    <w:p w14:paraId="27E226F3" w14:textId="77777777" w:rsidR="009220F6" w:rsidRDefault="00000000">
      <w:pPr>
        <w:spacing w:beforeLines="50" w:before="156" w:line="360" w:lineRule="auto"/>
        <w:outlineLvl w:val="1"/>
        <w:rPr>
          <w:rFonts w:asciiTheme="minorEastAsia" w:eastAsiaTheme="minorEastAsia" w:hAnsiTheme="minorEastAsia" w:hint="eastAsia"/>
          <w:b/>
          <w:sz w:val="24"/>
          <w:szCs w:val="24"/>
        </w:rPr>
      </w:pPr>
      <w:bookmarkStart w:id="6" w:name="_Toc26972782"/>
      <w:r>
        <w:rPr>
          <w:rFonts w:asciiTheme="minorEastAsia" w:eastAsiaTheme="minorEastAsia" w:hAnsiTheme="minorEastAsia" w:hint="eastAsia"/>
          <w:b/>
          <w:sz w:val="24"/>
          <w:szCs w:val="24"/>
        </w:rPr>
        <w:t>（三）主要起草人及其所做的工作</w:t>
      </w:r>
      <w:bookmarkEnd w:id="6"/>
    </w:p>
    <w:p w14:paraId="6865ABD7" w14:textId="77777777" w:rsidR="009220F6" w:rsidRDefault="00000000">
      <w:pPr>
        <w:spacing w:line="360" w:lineRule="auto"/>
        <w:ind w:firstLine="437"/>
        <w:jc w:val="left"/>
        <w:rPr>
          <w:rFonts w:ascii="宋体"/>
          <w:sz w:val="24"/>
          <w:szCs w:val="24"/>
        </w:rPr>
      </w:pPr>
      <w:r>
        <w:rPr>
          <w:rFonts w:ascii="宋体" w:hint="eastAsia"/>
          <w:sz w:val="24"/>
          <w:szCs w:val="24"/>
        </w:rPr>
        <w:t>起草</w:t>
      </w:r>
      <w:proofErr w:type="gramStart"/>
      <w:r>
        <w:rPr>
          <w:rFonts w:ascii="宋体" w:hint="eastAsia"/>
          <w:sz w:val="24"/>
          <w:szCs w:val="24"/>
        </w:rPr>
        <w:t>人任务</w:t>
      </w:r>
      <w:proofErr w:type="gramEnd"/>
      <w:r>
        <w:rPr>
          <w:rFonts w:ascii="宋体" w:hint="eastAsia"/>
          <w:sz w:val="24"/>
          <w:szCs w:val="24"/>
        </w:rPr>
        <w:t>分工见表1。</w:t>
      </w:r>
    </w:p>
    <w:p w14:paraId="1F7E5417" w14:textId="77777777" w:rsidR="009220F6" w:rsidRDefault="00000000">
      <w:pPr>
        <w:spacing w:line="360" w:lineRule="auto"/>
        <w:jc w:val="center"/>
        <w:rPr>
          <w:rFonts w:ascii="黑体" w:eastAsia="黑体" w:hAnsi="黑体" w:hint="eastAsia"/>
          <w:sz w:val="24"/>
          <w:szCs w:val="24"/>
        </w:rPr>
      </w:pPr>
      <w:r>
        <w:rPr>
          <w:rFonts w:ascii="黑体" w:eastAsia="黑体" w:hAnsi="黑体" w:hint="eastAsia"/>
          <w:sz w:val="24"/>
          <w:szCs w:val="24"/>
        </w:rPr>
        <w:t>表1 标准主要起草</w:t>
      </w:r>
      <w:proofErr w:type="gramStart"/>
      <w:r>
        <w:rPr>
          <w:rFonts w:ascii="黑体" w:eastAsia="黑体" w:hAnsi="黑体" w:hint="eastAsia"/>
          <w:sz w:val="24"/>
          <w:szCs w:val="24"/>
        </w:rPr>
        <w:t>人任务</w:t>
      </w:r>
      <w:proofErr w:type="gramEnd"/>
      <w:r>
        <w:rPr>
          <w:rFonts w:ascii="黑体" w:eastAsia="黑体" w:hAnsi="黑体" w:hint="eastAsia"/>
          <w:sz w:val="24"/>
          <w:szCs w:val="24"/>
        </w:rPr>
        <w:t>分工</w:t>
      </w:r>
    </w:p>
    <w:tbl>
      <w:tblPr>
        <w:tblW w:w="50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2484"/>
        <w:gridCol w:w="4277"/>
      </w:tblGrid>
      <w:tr w:rsidR="009220F6" w14:paraId="77EEE235" w14:textId="77777777">
        <w:trPr>
          <w:jc w:val="center"/>
        </w:trPr>
        <w:tc>
          <w:tcPr>
            <w:tcW w:w="934" w:type="pct"/>
            <w:vAlign w:val="center"/>
          </w:tcPr>
          <w:p w14:paraId="4C6CA8EE" w14:textId="77777777" w:rsidR="009220F6" w:rsidRDefault="00000000">
            <w:pPr>
              <w:spacing w:beforeLines="50" w:before="156"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姓名</w:t>
            </w:r>
          </w:p>
        </w:tc>
        <w:tc>
          <w:tcPr>
            <w:tcW w:w="1494" w:type="pct"/>
            <w:vAlign w:val="center"/>
          </w:tcPr>
          <w:p w14:paraId="7F99A399" w14:textId="77777777" w:rsidR="009220F6" w:rsidRDefault="00000000">
            <w:pPr>
              <w:spacing w:beforeLines="50" w:before="156"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单  位</w:t>
            </w:r>
          </w:p>
        </w:tc>
        <w:tc>
          <w:tcPr>
            <w:tcW w:w="2571" w:type="pct"/>
            <w:vAlign w:val="center"/>
          </w:tcPr>
          <w:p w14:paraId="0AF8700A" w14:textId="77777777" w:rsidR="009220F6" w:rsidRDefault="00000000">
            <w:pPr>
              <w:spacing w:beforeLines="50" w:before="156"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分  工</w:t>
            </w:r>
          </w:p>
        </w:tc>
      </w:tr>
      <w:tr w:rsidR="009220F6" w14:paraId="6CB47342" w14:textId="77777777">
        <w:trPr>
          <w:trHeight w:val="1026"/>
          <w:jc w:val="center"/>
        </w:trPr>
        <w:tc>
          <w:tcPr>
            <w:tcW w:w="934" w:type="pct"/>
            <w:vAlign w:val="center"/>
          </w:tcPr>
          <w:p w14:paraId="0A462BB1"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赵伟丽</w:t>
            </w:r>
          </w:p>
        </w:tc>
        <w:tc>
          <w:tcPr>
            <w:tcW w:w="1494" w:type="pct"/>
            <w:vAlign w:val="center"/>
          </w:tcPr>
          <w:p w14:paraId="469254D2"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25C201A6"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总体负责标准</w:t>
            </w:r>
            <w:r>
              <w:rPr>
                <w:rFonts w:asciiTheme="minorEastAsia" w:eastAsiaTheme="minorEastAsia" w:hAnsiTheme="minorEastAsia"/>
                <w:szCs w:val="21"/>
              </w:rPr>
              <w:t>编写的组织协调、需求分析、总体技术路线</w:t>
            </w:r>
            <w:r>
              <w:rPr>
                <w:rFonts w:asciiTheme="minorEastAsia" w:eastAsiaTheme="minorEastAsia" w:hAnsiTheme="minorEastAsia" w:hint="eastAsia"/>
                <w:szCs w:val="21"/>
              </w:rPr>
              <w:t>、工作大纲</w:t>
            </w:r>
            <w:r>
              <w:rPr>
                <w:rFonts w:asciiTheme="minorEastAsia" w:eastAsiaTheme="minorEastAsia" w:hAnsiTheme="minorEastAsia"/>
                <w:szCs w:val="21"/>
              </w:rPr>
              <w:t>及标准结构和标准1～</w:t>
            </w:r>
            <w:r>
              <w:rPr>
                <w:rFonts w:asciiTheme="minorEastAsia" w:eastAsiaTheme="minorEastAsia" w:hAnsiTheme="minorEastAsia" w:hint="eastAsia"/>
                <w:szCs w:val="21"/>
              </w:rPr>
              <w:t>10</w:t>
            </w:r>
            <w:r>
              <w:rPr>
                <w:rFonts w:asciiTheme="minorEastAsia" w:eastAsiaTheme="minorEastAsia" w:hAnsiTheme="minorEastAsia"/>
                <w:szCs w:val="21"/>
              </w:rPr>
              <w:t>章技术内容编写。</w:t>
            </w:r>
          </w:p>
        </w:tc>
      </w:tr>
      <w:tr w:rsidR="009220F6" w14:paraId="0340F421" w14:textId="77777777">
        <w:trPr>
          <w:trHeight w:val="889"/>
          <w:jc w:val="center"/>
        </w:trPr>
        <w:tc>
          <w:tcPr>
            <w:tcW w:w="934" w:type="pct"/>
            <w:vAlign w:val="center"/>
          </w:tcPr>
          <w:p w14:paraId="2268FC66" w14:textId="77777777" w:rsidR="009220F6" w:rsidRDefault="00000000">
            <w:pPr>
              <w:widowControl/>
              <w:jc w:val="center"/>
              <w:rPr>
                <w:rFonts w:asciiTheme="minorEastAsia" w:eastAsiaTheme="minorEastAsia" w:hAnsiTheme="minorEastAsia" w:hint="eastAsia"/>
                <w:szCs w:val="21"/>
              </w:rPr>
            </w:pPr>
            <w:proofErr w:type="gramStart"/>
            <w:r>
              <w:rPr>
                <w:rFonts w:asciiTheme="minorEastAsia" w:eastAsiaTheme="minorEastAsia" w:hAnsiTheme="minorEastAsia" w:hint="eastAsia"/>
                <w:szCs w:val="21"/>
              </w:rPr>
              <w:t>吴宇震</w:t>
            </w:r>
            <w:proofErr w:type="gramEnd"/>
          </w:p>
        </w:tc>
        <w:tc>
          <w:tcPr>
            <w:tcW w:w="1494" w:type="pct"/>
            <w:vAlign w:val="center"/>
          </w:tcPr>
          <w:p w14:paraId="30A7932C"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w:t>
            </w:r>
          </w:p>
        </w:tc>
        <w:tc>
          <w:tcPr>
            <w:tcW w:w="2571" w:type="pct"/>
            <w:vAlign w:val="center"/>
          </w:tcPr>
          <w:p w14:paraId="6889A30C"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参与</w:t>
            </w:r>
            <w:r>
              <w:rPr>
                <w:rFonts w:asciiTheme="minorEastAsia" w:eastAsiaTheme="minorEastAsia" w:hAnsiTheme="minorEastAsia"/>
                <w:szCs w:val="21"/>
              </w:rPr>
              <w:t>标准编写的需求分析、总体技术路线</w:t>
            </w:r>
            <w:r>
              <w:rPr>
                <w:rFonts w:asciiTheme="minorEastAsia" w:eastAsiaTheme="minorEastAsia" w:hAnsiTheme="minorEastAsia" w:hint="eastAsia"/>
                <w:szCs w:val="21"/>
              </w:rPr>
              <w:t>、工作大纲</w:t>
            </w:r>
            <w:r>
              <w:rPr>
                <w:rFonts w:asciiTheme="minorEastAsia" w:eastAsiaTheme="minorEastAsia" w:hAnsiTheme="minorEastAsia"/>
                <w:szCs w:val="21"/>
              </w:rPr>
              <w:t>及标准结构和标准1～10章技术内容编写。</w:t>
            </w:r>
          </w:p>
        </w:tc>
      </w:tr>
      <w:tr w:rsidR="009220F6" w14:paraId="53B2EFBD" w14:textId="77777777">
        <w:trPr>
          <w:jc w:val="center"/>
        </w:trPr>
        <w:tc>
          <w:tcPr>
            <w:tcW w:w="934" w:type="pct"/>
            <w:vAlign w:val="center"/>
          </w:tcPr>
          <w:p w14:paraId="6DE2579F"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尹占强</w:t>
            </w:r>
          </w:p>
        </w:tc>
        <w:tc>
          <w:tcPr>
            <w:tcW w:w="1494" w:type="pct"/>
            <w:vAlign w:val="center"/>
          </w:tcPr>
          <w:p w14:paraId="1F487377"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17312707"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参与标准工作大纲编写和4-10章节的编写及相关技术论证。</w:t>
            </w:r>
          </w:p>
        </w:tc>
      </w:tr>
      <w:tr w:rsidR="009220F6" w14:paraId="16F460EE" w14:textId="77777777">
        <w:trPr>
          <w:jc w:val="center"/>
        </w:trPr>
        <w:tc>
          <w:tcPr>
            <w:tcW w:w="934" w:type="pct"/>
            <w:vAlign w:val="center"/>
          </w:tcPr>
          <w:p w14:paraId="12A40858"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张杰</w:t>
            </w:r>
          </w:p>
        </w:tc>
        <w:tc>
          <w:tcPr>
            <w:tcW w:w="1494" w:type="pct"/>
            <w:vAlign w:val="center"/>
          </w:tcPr>
          <w:p w14:paraId="39E0D3E9"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1227ABBE"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szCs w:val="21"/>
              </w:rPr>
              <w:t>参与标准工作大纲编写和</w:t>
            </w:r>
            <w:r>
              <w:rPr>
                <w:rFonts w:asciiTheme="minorEastAsia" w:eastAsiaTheme="minorEastAsia" w:hAnsiTheme="minorEastAsia" w:hint="eastAsia"/>
                <w:szCs w:val="21"/>
              </w:rPr>
              <w:t>4-10章节的编写及相关技术论证。</w:t>
            </w:r>
          </w:p>
        </w:tc>
      </w:tr>
      <w:tr w:rsidR="009220F6" w14:paraId="21B513EC" w14:textId="77777777">
        <w:trPr>
          <w:jc w:val="center"/>
        </w:trPr>
        <w:tc>
          <w:tcPr>
            <w:tcW w:w="934" w:type="pct"/>
            <w:vAlign w:val="center"/>
          </w:tcPr>
          <w:p w14:paraId="38375A2F"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张蕾</w:t>
            </w:r>
          </w:p>
        </w:tc>
        <w:tc>
          <w:tcPr>
            <w:tcW w:w="1494" w:type="pct"/>
            <w:vAlign w:val="center"/>
          </w:tcPr>
          <w:p w14:paraId="3E8BA11B"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w:t>
            </w:r>
          </w:p>
        </w:tc>
        <w:tc>
          <w:tcPr>
            <w:tcW w:w="2571" w:type="pct"/>
            <w:vAlign w:val="center"/>
          </w:tcPr>
          <w:p w14:paraId="383699BF"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szCs w:val="21"/>
              </w:rPr>
              <w:t>参与标准</w:t>
            </w:r>
            <w:r>
              <w:rPr>
                <w:rFonts w:asciiTheme="minorEastAsia" w:eastAsiaTheme="minorEastAsia" w:hAnsiTheme="minorEastAsia" w:hint="eastAsia"/>
                <w:szCs w:val="21"/>
              </w:rPr>
              <w:t>需求分析、</w:t>
            </w:r>
            <w:r>
              <w:rPr>
                <w:rFonts w:asciiTheme="minorEastAsia" w:eastAsiaTheme="minorEastAsia" w:hAnsiTheme="minorEastAsia"/>
                <w:szCs w:val="21"/>
              </w:rPr>
              <w:t>总体技术路线、工作大纲及标准结构和</w:t>
            </w:r>
            <w:r>
              <w:rPr>
                <w:rFonts w:asciiTheme="minorEastAsia" w:eastAsiaTheme="minorEastAsia" w:hAnsiTheme="minorEastAsia" w:hint="eastAsia"/>
                <w:szCs w:val="21"/>
              </w:rPr>
              <w:t>1</w:t>
            </w:r>
            <w:r>
              <w:rPr>
                <w:rFonts w:asciiTheme="minorEastAsia" w:eastAsiaTheme="minorEastAsia" w:hAnsiTheme="minorEastAsia"/>
                <w:szCs w:val="21"/>
              </w:rPr>
              <w:t>-10章节的编写。</w:t>
            </w:r>
          </w:p>
        </w:tc>
      </w:tr>
      <w:tr w:rsidR="009220F6" w14:paraId="385B97A6" w14:textId="77777777">
        <w:trPr>
          <w:jc w:val="center"/>
        </w:trPr>
        <w:tc>
          <w:tcPr>
            <w:tcW w:w="934" w:type="pct"/>
            <w:vAlign w:val="center"/>
          </w:tcPr>
          <w:p w14:paraId="3ACA0EEA" w14:textId="77777777" w:rsidR="009220F6" w:rsidRDefault="00000000">
            <w:pPr>
              <w:widowControl/>
              <w:jc w:val="center"/>
              <w:rPr>
                <w:rFonts w:asciiTheme="minorEastAsia" w:eastAsiaTheme="minorEastAsia" w:hAnsiTheme="minorEastAsia" w:hint="eastAsia"/>
                <w:szCs w:val="21"/>
              </w:rPr>
            </w:pPr>
            <w:proofErr w:type="gramStart"/>
            <w:r>
              <w:rPr>
                <w:rFonts w:asciiTheme="minorEastAsia" w:eastAsiaTheme="minorEastAsia" w:hAnsiTheme="minorEastAsia" w:hint="eastAsia"/>
                <w:szCs w:val="21"/>
              </w:rPr>
              <w:t>毕涛</w:t>
            </w:r>
            <w:proofErr w:type="gramEnd"/>
          </w:p>
        </w:tc>
        <w:tc>
          <w:tcPr>
            <w:tcW w:w="1494" w:type="pct"/>
            <w:vAlign w:val="center"/>
          </w:tcPr>
          <w:p w14:paraId="74AAFA1A"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w:t>
            </w:r>
          </w:p>
        </w:tc>
        <w:tc>
          <w:tcPr>
            <w:tcW w:w="2571" w:type="pct"/>
            <w:vAlign w:val="center"/>
          </w:tcPr>
          <w:p w14:paraId="6C349596"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szCs w:val="21"/>
              </w:rPr>
              <w:t>参与标准工作大纲及标准结构和</w:t>
            </w:r>
            <w:r>
              <w:rPr>
                <w:rFonts w:asciiTheme="minorEastAsia" w:eastAsiaTheme="minorEastAsia" w:hAnsiTheme="minorEastAsia" w:hint="eastAsia"/>
                <w:szCs w:val="21"/>
              </w:rPr>
              <w:t>4</w:t>
            </w:r>
            <w:r>
              <w:rPr>
                <w:rFonts w:asciiTheme="minorEastAsia" w:eastAsiaTheme="minorEastAsia" w:hAnsiTheme="minorEastAsia"/>
                <w:szCs w:val="21"/>
              </w:rPr>
              <w:t>-10章节的编写。</w:t>
            </w:r>
          </w:p>
        </w:tc>
      </w:tr>
      <w:tr w:rsidR="009220F6" w14:paraId="28C59732" w14:textId="77777777">
        <w:trPr>
          <w:jc w:val="center"/>
        </w:trPr>
        <w:tc>
          <w:tcPr>
            <w:tcW w:w="934" w:type="pct"/>
            <w:vAlign w:val="center"/>
          </w:tcPr>
          <w:p w14:paraId="2CD59465"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徐斌</w:t>
            </w:r>
          </w:p>
        </w:tc>
        <w:tc>
          <w:tcPr>
            <w:tcW w:w="1494" w:type="pct"/>
            <w:vAlign w:val="center"/>
          </w:tcPr>
          <w:p w14:paraId="18AABF69"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w:t>
            </w:r>
          </w:p>
        </w:tc>
        <w:tc>
          <w:tcPr>
            <w:tcW w:w="2571" w:type="pct"/>
            <w:vAlign w:val="center"/>
          </w:tcPr>
          <w:p w14:paraId="168C8B38"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第2章规范性引用文件搜集、整理、校验，第6章物料轮廓数据处理分析及编写。</w:t>
            </w:r>
          </w:p>
        </w:tc>
      </w:tr>
      <w:tr w:rsidR="009220F6" w14:paraId="4DE2EFBD" w14:textId="77777777">
        <w:trPr>
          <w:jc w:val="center"/>
        </w:trPr>
        <w:tc>
          <w:tcPr>
            <w:tcW w:w="934" w:type="pct"/>
            <w:vAlign w:val="center"/>
          </w:tcPr>
          <w:p w14:paraId="3F462751"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王鹤</w:t>
            </w:r>
          </w:p>
        </w:tc>
        <w:tc>
          <w:tcPr>
            <w:tcW w:w="1494" w:type="pct"/>
            <w:vAlign w:val="center"/>
          </w:tcPr>
          <w:p w14:paraId="015F1337"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75C62769"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卸船机自动化系统感知模块的调研分析，第4章自动化系统图协调核对及编写。</w:t>
            </w:r>
          </w:p>
        </w:tc>
      </w:tr>
      <w:tr w:rsidR="009220F6" w14:paraId="61AB4424" w14:textId="77777777">
        <w:trPr>
          <w:jc w:val="center"/>
        </w:trPr>
        <w:tc>
          <w:tcPr>
            <w:tcW w:w="934" w:type="pct"/>
            <w:vAlign w:val="center"/>
          </w:tcPr>
          <w:p w14:paraId="16140499"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姚鑫</w:t>
            </w:r>
          </w:p>
        </w:tc>
        <w:tc>
          <w:tcPr>
            <w:tcW w:w="1494" w:type="pct"/>
            <w:vAlign w:val="center"/>
          </w:tcPr>
          <w:p w14:paraId="19011A61"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252D9B4B"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卸船机自动化系统方面的调研分析，第4章系统功能配置编写，第7章定位装置参数验证及编写。</w:t>
            </w:r>
          </w:p>
        </w:tc>
      </w:tr>
      <w:tr w:rsidR="009220F6" w14:paraId="75C6C635" w14:textId="77777777">
        <w:trPr>
          <w:jc w:val="center"/>
        </w:trPr>
        <w:tc>
          <w:tcPr>
            <w:tcW w:w="934" w:type="pct"/>
            <w:vAlign w:val="center"/>
          </w:tcPr>
          <w:p w14:paraId="02620641"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lastRenderedPageBreak/>
              <w:t>齐斌</w:t>
            </w:r>
          </w:p>
        </w:tc>
        <w:tc>
          <w:tcPr>
            <w:tcW w:w="1494" w:type="pct"/>
            <w:vAlign w:val="center"/>
          </w:tcPr>
          <w:p w14:paraId="059691AE"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w:t>
            </w:r>
          </w:p>
        </w:tc>
        <w:tc>
          <w:tcPr>
            <w:tcW w:w="2571" w:type="pct"/>
            <w:vAlign w:val="center"/>
          </w:tcPr>
          <w:p w14:paraId="07738520"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港口关键设备制造商相关调研分析，系统摄像机与动力电源参数校验，第5章一般要求编写及相关技术论证。</w:t>
            </w:r>
          </w:p>
        </w:tc>
      </w:tr>
      <w:tr w:rsidR="009220F6" w14:paraId="14244645" w14:textId="77777777">
        <w:trPr>
          <w:jc w:val="center"/>
        </w:trPr>
        <w:tc>
          <w:tcPr>
            <w:tcW w:w="934" w:type="pct"/>
            <w:vAlign w:val="center"/>
          </w:tcPr>
          <w:p w14:paraId="65AED830"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李鑫</w:t>
            </w:r>
          </w:p>
        </w:tc>
        <w:tc>
          <w:tcPr>
            <w:tcW w:w="1494" w:type="pct"/>
            <w:vAlign w:val="center"/>
          </w:tcPr>
          <w:p w14:paraId="7FA889B7"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1E2F3581"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系统起重量、生产率以及室外设备可靠性与合理性调研分析，第5章节的编写及相关技术论证。</w:t>
            </w:r>
          </w:p>
        </w:tc>
      </w:tr>
      <w:tr w:rsidR="009220F6" w14:paraId="56D51B68" w14:textId="77777777">
        <w:trPr>
          <w:jc w:val="center"/>
        </w:trPr>
        <w:tc>
          <w:tcPr>
            <w:tcW w:w="934" w:type="pct"/>
            <w:vAlign w:val="center"/>
          </w:tcPr>
          <w:p w14:paraId="4EA88594" w14:textId="77777777" w:rsidR="009220F6" w:rsidRDefault="00000000">
            <w:pPr>
              <w:widowControl/>
              <w:jc w:val="center"/>
              <w:rPr>
                <w:rFonts w:asciiTheme="minorEastAsia" w:eastAsiaTheme="minorEastAsia" w:hAnsiTheme="minorEastAsia" w:hint="eastAsia"/>
                <w:szCs w:val="21"/>
              </w:rPr>
            </w:pPr>
            <w:proofErr w:type="gramStart"/>
            <w:r>
              <w:rPr>
                <w:rFonts w:asciiTheme="minorEastAsia" w:eastAsiaTheme="minorEastAsia" w:hAnsiTheme="minorEastAsia" w:hint="eastAsia"/>
                <w:szCs w:val="21"/>
              </w:rPr>
              <w:t>纪辉</w:t>
            </w:r>
            <w:proofErr w:type="gramEnd"/>
          </w:p>
        </w:tc>
        <w:tc>
          <w:tcPr>
            <w:tcW w:w="1494" w:type="pct"/>
            <w:vAlign w:val="center"/>
          </w:tcPr>
          <w:p w14:paraId="321967AB"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山东朝辉自动化科技有限责任公司</w:t>
            </w:r>
          </w:p>
        </w:tc>
        <w:tc>
          <w:tcPr>
            <w:tcW w:w="2571" w:type="pct"/>
            <w:vAlign w:val="center"/>
          </w:tcPr>
          <w:p w14:paraId="00910763"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第6章节感知功能编写及相关技术论证。</w:t>
            </w:r>
          </w:p>
        </w:tc>
      </w:tr>
      <w:tr w:rsidR="009220F6" w14:paraId="6CE14FAE" w14:textId="77777777">
        <w:trPr>
          <w:jc w:val="center"/>
        </w:trPr>
        <w:tc>
          <w:tcPr>
            <w:tcW w:w="934" w:type="pct"/>
            <w:vAlign w:val="center"/>
          </w:tcPr>
          <w:p w14:paraId="3F03B579" w14:textId="77777777" w:rsidR="009220F6" w:rsidRDefault="00000000">
            <w:pPr>
              <w:widowControl/>
              <w:jc w:val="center"/>
              <w:rPr>
                <w:rFonts w:asciiTheme="minorEastAsia" w:eastAsiaTheme="minorEastAsia" w:hAnsiTheme="minorEastAsia" w:hint="eastAsia"/>
                <w:szCs w:val="21"/>
              </w:rPr>
            </w:pPr>
            <w:bookmarkStart w:id="7" w:name="_Toc483660124"/>
            <w:bookmarkStart w:id="8" w:name="_Toc26972783"/>
            <w:proofErr w:type="gramStart"/>
            <w:r>
              <w:rPr>
                <w:rFonts w:asciiTheme="minorEastAsia" w:eastAsiaTheme="minorEastAsia" w:hAnsiTheme="minorEastAsia" w:hint="eastAsia"/>
                <w:szCs w:val="21"/>
              </w:rPr>
              <w:t>马学旭</w:t>
            </w:r>
            <w:proofErr w:type="gramEnd"/>
          </w:p>
        </w:tc>
        <w:tc>
          <w:tcPr>
            <w:tcW w:w="1494" w:type="pct"/>
            <w:vAlign w:val="center"/>
          </w:tcPr>
          <w:p w14:paraId="498D4C92"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039B259D"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控制模式安全性与合理性调研分析，机构执行控制可靠性分析，第8章节控制系统编写及相关技术论证。</w:t>
            </w:r>
          </w:p>
        </w:tc>
      </w:tr>
      <w:tr w:rsidR="009220F6" w14:paraId="7C325B11" w14:textId="77777777">
        <w:trPr>
          <w:jc w:val="center"/>
        </w:trPr>
        <w:tc>
          <w:tcPr>
            <w:tcW w:w="934" w:type="pct"/>
            <w:vAlign w:val="center"/>
          </w:tcPr>
          <w:p w14:paraId="4483DCE2"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薛松</w:t>
            </w:r>
          </w:p>
        </w:tc>
        <w:tc>
          <w:tcPr>
            <w:tcW w:w="1494" w:type="pct"/>
            <w:vAlign w:val="center"/>
          </w:tcPr>
          <w:p w14:paraId="3F6C9F6D"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77368056"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协调总体调研，组织技术讨论会，第9章操控台审核和标准的编辑性修改。</w:t>
            </w:r>
          </w:p>
        </w:tc>
      </w:tr>
      <w:tr w:rsidR="009220F6" w14:paraId="5468CF15" w14:textId="77777777">
        <w:trPr>
          <w:jc w:val="center"/>
        </w:trPr>
        <w:tc>
          <w:tcPr>
            <w:tcW w:w="934" w:type="pct"/>
            <w:vAlign w:val="center"/>
          </w:tcPr>
          <w:p w14:paraId="56AC742A" w14:textId="77777777" w:rsidR="009220F6" w:rsidRDefault="00000000">
            <w:pPr>
              <w:widowControl/>
              <w:jc w:val="center"/>
              <w:rPr>
                <w:rFonts w:asciiTheme="minorEastAsia" w:eastAsiaTheme="minorEastAsia" w:hAnsiTheme="minorEastAsia" w:hint="eastAsia"/>
                <w:szCs w:val="21"/>
              </w:rPr>
            </w:pPr>
            <w:proofErr w:type="gramStart"/>
            <w:r>
              <w:rPr>
                <w:rFonts w:asciiTheme="minorEastAsia" w:eastAsiaTheme="minorEastAsia" w:hAnsiTheme="minorEastAsia" w:hint="eastAsia"/>
                <w:szCs w:val="21"/>
              </w:rPr>
              <w:t>赵栋</w:t>
            </w:r>
            <w:proofErr w:type="gramEnd"/>
          </w:p>
        </w:tc>
        <w:tc>
          <w:tcPr>
            <w:tcW w:w="1494" w:type="pct"/>
            <w:vAlign w:val="center"/>
          </w:tcPr>
          <w:p w14:paraId="30D2D641"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1EC020F7"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第2章规范性引用文件审核和标准的编辑性修改，文献资料检索。</w:t>
            </w:r>
          </w:p>
        </w:tc>
      </w:tr>
      <w:tr w:rsidR="009220F6" w14:paraId="48BF16FE" w14:textId="77777777">
        <w:trPr>
          <w:jc w:val="center"/>
        </w:trPr>
        <w:tc>
          <w:tcPr>
            <w:tcW w:w="934" w:type="pct"/>
            <w:vAlign w:val="center"/>
          </w:tcPr>
          <w:p w14:paraId="39253CA2" w14:textId="77777777" w:rsidR="009220F6" w:rsidRDefault="00000000">
            <w:pPr>
              <w:widowControl/>
              <w:jc w:val="center"/>
              <w:rPr>
                <w:rFonts w:asciiTheme="minorEastAsia" w:eastAsiaTheme="minorEastAsia" w:hAnsiTheme="minorEastAsia" w:hint="eastAsia"/>
                <w:szCs w:val="21"/>
              </w:rPr>
            </w:pPr>
            <w:proofErr w:type="gramStart"/>
            <w:r>
              <w:rPr>
                <w:rFonts w:asciiTheme="minorEastAsia" w:eastAsiaTheme="minorEastAsia" w:hAnsiTheme="minorEastAsia" w:hint="eastAsia"/>
                <w:szCs w:val="21"/>
              </w:rPr>
              <w:t>高先超</w:t>
            </w:r>
            <w:proofErr w:type="gramEnd"/>
          </w:p>
        </w:tc>
        <w:tc>
          <w:tcPr>
            <w:tcW w:w="1494" w:type="pct"/>
            <w:vAlign w:val="center"/>
          </w:tcPr>
          <w:p w14:paraId="6871234E"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229ED94B"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参与第9-10章节的编写及相关技术论证，重点保证南方码头工艺兼容性。</w:t>
            </w:r>
          </w:p>
        </w:tc>
      </w:tr>
      <w:tr w:rsidR="009220F6" w14:paraId="30E729F7" w14:textId="77777777">
        <w:trPr>
          <w:jc w:val="center"/>
        </w:trPr>
        <w:tc>
          <w:tcPr>
            <w:tcW w:w="934" w:type="pct"/>
            <w:vAlign w:val="center"/>
          </w:tcPr>
          <w:p w14:paraId="056067B2" w14:textId="77777777" w:rsidR="009220F6" w:rsidRDefault="00000000">
            <w:pPr>
              <w:widowControl/>
              <w:jc w:val="center"/>
              <w:rPr>
                <w:rFonts w:asciiTheme="minorEastAsia" w:eastAsiaTheme="minorEastAsia" w:hAnsiTheme="minorEastAsia" w:hint="eastAsia"/>
                <w:szCs w:val="21"/>
              </w:rPr>
            </w:pPr>
            <w:proofErr w:type="gramStart"/>
            <w:r>
              <w:rPr>
                <w:rFonts w:asciiTheme="minorEastAsia" w:eastAsiaTheme="minorEastAsia" w:hAnsiTheme="minorEastAsia" w:hint="eastAsia"/>
                <w:szCs w:val="21"/>
              </w:rPr>
              <w:t>石郑健</w:t>
            </w:r>
            <w:proofErr w:type="gramEnd"/>
          </w:p>
        </w:tc>
        <w:tc>
          <w:tcPr>
            <w:tcW w:w="1494" w:type="pct"/>
            <w:vAlign w:val="center"/>
          </w:tcPr>
          <w:p w14:paraId="7C50F40B"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098BA62D"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参与第9-10章节的编写及相关技术论证，文稿校验与修改。</w:t>
            </w:r>
          </w:p>
        </w:tc>
      </w:tr>
      <w:tr w:rsidR="009220F6" w14:paraId="37A3E71A" w14:textId="77777777">
        <w:trPr>
          <w:jc w:val="center"/>
        </w:trPr>
        <w:tc>
          <w:tcPr>
            <w:tcW w:w="934" w:type="pct"/>
            <w:vAlign w:val="center"/>
          </w:tcPr>
          <w:p w14:paraId="72BDF484"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刘福乾</w:t>
            </w:r>
          </w:p>
        </w:tc>
        <w:tc>
          <w:tcPr>
            <w:tcW w:w="1494" w:type="pct"/>
            <w:vAlign w:val="center"/>
          </w:tcPr>
          <w:p w14:paraId="24FECAD1"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61D5365B"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负责组织咨询会议，联系协调调研，参与第7章节编写及相关技术论证。</w:t>
            </w:r>
          </w:p>
        </w:tc>
      </w:tr>
      <w:tr w:rsidR="009220F6" w14:paraId="223C97F8" w14:textId="77777777">
        <w:trPr>
          <w:trHeight w:val="764"/>
          <w:jc w:val="center"/>
        </w:trPr>
        <w:tc>
          <w:tcPr>
            <w:tcW w:w="934" w:type="pct"/>
            <w:vAlign w:val="center"/>
          </w:tcPr>
          <w:p w14:paraId="300317EC"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孙烨</w:t>
            </w:r>
          </w:p>
        </w:tc>
        <w:tc>
          <w:tcPr>
            <w:tcW w:w="1494" w:type="pct"/>
            <w:vAlign w:val="center"/>
          </w:tcPr>
          <w:p w14:paraId="3F671EC2"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青岛港国际股份有限公司前港分公司</w:t>
            </w:r>
          </w:p>
        </w:tc>
        <w:tc>
          <w:tcPr>
            <w:tcW w:w="2571" w:type="pct"/>
            <w:vAlign w:val="center"/>
          </w:tcPr>
          <w:p w14:paraId="14D69606"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调研南方码头卸船机自动化定位子系统，参与第7章节编写及相关技术论证。</w:t>
            </w:r>
          </w:p>
        </w:tc>
      </w:tr>
      <w:tr w:rsidR="009220F6" w14:paraId="378318E0" w14:textId="77777777">
        <w:trPr>
          <w:trHeight w:val="862"/>
          <w:jc w:val="center"/>
        </w:trPr>
        <w:tc>
          <w:tcPr>
            <w:tcW w:w="934" w:type="pct"/>
            <w:vAlign w:val="center"/>
          </w:tcPr>
          <w:p w14:paraId="43994D83"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高玉军</w:t>
            </w:r>
          </w:p>
        </w:tc>
        <w:tc>
          <w:tcPr>
            <w:tcW w:w="1494" w:type="pct"/>
            <w:vAlign w:val="center"/>
          </w:tcPr>
          <w:p w14:paraId="6B3F7181"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青岛港董家口矿石码头有限公司</w:t>
            </w:r>
          </w:p>
        </w:tc>
        <w:tc>
          <w:tcPr>
            <w:tcW w:w="2571" w:type="pct"/>
            <w:vAlign w:val="center"/>
          </w:tcPr>
          <w:p w14:paraId="1F6D19CA" w14:textId="77777777" w:rsidR="009220F6" w:rsidRDefault="00000000">
            <w:pPr>
              <w:widowControl/>
              <w:jc w:val="center"/>
              <w:rPr>
                <w:rFonts w:asciiTheme="minorEastAsia" w:eastAsiaTheme="minorEastAsia" w:hAnsiTheme="minorEastAsia" w:hint="eastAsia"/>
                <w:szCs w:val="21"/>
              </w:rPr>
            </w:pPr>
            <w:r>
              <w:rPr>
                <w:rFonts w:asciiTheme="minorEastAsia" w:eastAsiaTheme="minorEastAsia" w:hAnsiTheme="minorEastAsia" w:hint="eastAsia"/>
                <w:szCs w:val="21"/>
              </w:rPr>
              <w:t>协助组织调研分析会议，组织技术讨论会，参与第10章节编写及相关技术论证。</w:t>
            </w:r>
          </w:p>
        </w:tc>
      </w:tr>
    </w:tbl>
    <w:p w14:paraId="488958B2" w14:textId="77777777" w:rsidR="009220F6" w:rsidRDefault="00000000">
      <w:pPr>
        <w:spacing w:beforeLines="50" w:before="156" w:line="360" w:lineRule="auto"/>
        <w:outlineLvl w:val="1"/>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（四）主要工作</w:t>
      </w:r>
      <w:r>
        <w:rPr>
          <w:rFonts w:asciiTheme="minorEastAsia" w:eastAsiaTheme="minorEastAsia" w:hAnsiTheme="minorEastAsia"/>
          <w:b/>
          <w:sz w:val="24"/>
          <w:szCs w:val="24"/>
        </w:rPr>
        <w:t>过</w:t>
      </w:r>
      <w:r>
        <w:rPr>
          <w:rFonts w:asciiTheme="minorEastAsia" w:eastAsiaTheme="minorEastAsia" w:hAnsiTheme="minorEastAsia" w:hint="eastAsia"/>
          <w:b/>
          <w:sz w:val="24"/>
          <w:szCs w:val="24"/>
        </w:rPr>
        <w:t>程</w:t>
      </w:r>
      <w:bookmarkEnd w:id="7"/>
      <w:bookmarkEnd w:id="8"/>
    </w:p>
    <w:p w14:paraId="581C89E4"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宋体" w:hint="eastAsia"/>
          <w:sz w:val="24"/>
          <w:szCs w:val="24"/>
        </w:rPr>
        <w:t>2023年</w:t>
      </w:r>
      <w:r>
        <w:rPr>
          <w:rFonts w:asciiTheme="minorEastAsia" w:eastAsiaTheme="minorEastAsia" w:hAnsiTheme="minorEastAsia" w:cs="宋体" w:hint="eastAsia"/>
          <w:sz w:val="24"/>
          <w:szCs w:val="24"/>
          <w:lang w:val="zh-CN"/>
        </w:rPr>
        <w:t>根据《关于召开</w:t>
      </w:r>
      <w:bookmarkStart w:id="9" w:name="OLE_LINK3"/>
      <w:bookmarkStart w:id="10" w:name="OLE_LINK4"/>
      <w:r>
        <w:rPr>
          <w:rFonts w:asciiTheme="minorEastAsia" w:eastAsiaTheme="minorEastAsia" w:hAnsiTheme="minorEastAsia" w:cs="宋体" w:hint="eastAsia"/>
          <w:sz w:val="24"/>
          <w:szCs w:val="24"/>
          <w:lang w:val="zh-CN"/>
        </w:rPr>
        <w:t>中国港口协会</w:t>
      </w:r>
      <w:bookmarkEnd w:id="9"/>
      <w:bookmarkEnd w:id="10"/>
      <w:r>
        <w:rPr>
          <w:rFonts w:asciiTheme="minorEastAsia" w:eastAsiaTheme="minorEastAsia" w:hAnsiTheme="minorEastAsia" w:cs="宋体" w:hint="eastAsia"/>
          <w:sz w:val="24"/>
          <w:szCs w:val="24"/>
          <w:lang w:val="zh-CN"/>
        </w:rPr>
        <w:t>团体标准“</w:t>
      </w:r>
      <w:r>
        <w:rPr>
          <w:rFonts w:asciiTheme="minorEastAsia" w:eastAsiaTheme="minorEastAsia" w:hAnsiTheme="minorEastAsia" w:cs="宋体" w:hint="eastAsia"/>
          <w:sz w:val="24"/>
          <w:szCs w:val="24"/>
        </w:rPr>
        <w:t>卸船机自动化系统技术要求</w:t>
      </w:r>
      <w:r>
        <w:rPr>
          <w:rFonts w:asciiTheme="minorEastAsia" w:eastAsiaTheme="minorEastAsia" w:hAnsiTheme="minorEastAsia" w:cs="宋体" w:hint="eastAsia"/>
          <w:sz w:val="24"/>
          <w:szCs w:val="24"/>
          <w:lang w:val="zh-CN"/>
        </w:rPr>
        <w:t>”编写大纲评审工作的通知》</w:t>
      </w:r>
      <w:r>
        <w:rPr>
          <w:rFonts w:asciiTheme="minorEastAsia" w:eastAsiaTheme="minorEastAsia" w:hAnsiTheme="minorEastAsia" w:hint="eastAsia"/>
          <w:sz w:val="24"/>
          <w:szCs w:val="24"/>
        </w:rPr>
        <w:t>，项目承担单位根据计划要求，成立编制组，明确了标准编写任务分工和时间进度安排，组织开展标准制定工作。</w:t>
      </w:r>
    </w:p>
    <w:p w14:paraId="3687547E" w14:textId="77777777" w:rsidR="009220F6" w:rsidRDefault="00000000">
      <w:pPr>
        <w:spacing w:line="360" w:lineRule="auto"/>
        <w:ind w:firstLineChars="200" w:firstLine="480"/>
        <w:rPr>
          <w:rFonts w:asciiTheme="minorEastAsia" w:eastAsiaTheme="minorEastAsia" w:hAnsiTheme="minorEastAsia" w:cs="宋体" w:hint="eastAsia"/>
          <w:sz w:val="24"/>
          <w:szCs w:val="24"/>
          <w:lang w:val="zh-CN"/>
        </w:rPr>
      </w:pPr>
      <w:r>
        <w:rPr>
          <w:rFonts w:asciiTheme="minorEastAsia" w:eastAsiaTheme="minorEastAsia" w:hAnsiTheme="minorEastAsia" w:cs="宋体" w:hint="eastAsia"/>
          <w:sz w:val="24"/>
          <w:szCs w:val="24"/>
          <w:lang w:val="zh-CN"/>
        </w:rPr>
        <w:t>1、202</w:t>
      </w:r>
      <w:r>
        <w:rPr>
          <w:rFonts w:asciiTheme="minorEastAsia" w:eastAsiaTheme="minorEastAsia" w:hAnsiTheme="minorEastAsia" w:cs="宋体" w:hint="eastAsia"/>
          <w:sz w:val="24"/>
          <w:szCs w:val="24"/>
        </w:rPr>
        <w:t>3</w:t>
      </w:r>
      <w:r>
        <w:rPr>
          <w:rFonts w:asciiTheme="minorEastAsia" w:eastAsiaTheme="minorEastAsia" w:hAnsiTheme="minorEastAsia" w:cs="宋体" w:hint="eastAsia"/>
          <w:sz w:val="24"/>
          <w:szCs w:val="24"/>
          <w:lang w:val="zh-CN"/>
        </w:rPr>
        <w:t>年</w:t>
      </w:r>
      <w:r>
        <w:rPr>
          <w:rFonts w:asciiTheme="minorEastAsia" w:eastAsiaTheme="minorEastAsia" w:hAnsiTheme="minorEastAsia" w:cs="宋体" w:hint="eastAsia"/>
          <w:sz w:val="24"/>
          <w:szCs w:val="24"/>
        </w:rPr>
        <w:t>8</w:t>
      </w:r>
      <w:r>
        <w:rPr>
          <w:rFonts w:asciiTheme="minorEastAsia" w:eastAsiaTheme="minorEastAsia" w:hAnsiTheme="minorEastAsia" w:cs="宋体" w:hint="eastAsia"/>
          <w:sz w:val="24"/>
          <w:szCs w:val="24"/>
          <w:lang w:val="zh-CN"/>
        </w:rPr>
        <w:t>月～202</w:t>
      </w:r>
      <w:r>
        <w:rPr>
          <w:rFonts w:asciiTheme="minorEastAsia" w:eastAsiaTheme="minorEastAsia" w:hAnsiTheme="minorEastAsia" w:cs="宋体" w:hint="eastAsia"/>
          <w:sz w:val="24"/>
          <w:szCs w:val="24"/>
        </w:rPr>
        <w:t>4</w:t>
      </w:r>
      <w:r>
        <w:rPr>
          <w:rFonts w:asciiTheme="minorEastAsia" w:eastAsiaTheme="minorEastAsia" w:hAnsiTheme="minorEastAsia" w:cs="宋体" w:hint="eastAsia"/>
          <w:sz w:val="24"/>
          <w:szCs w:val="24"/>
          <w:lang w:val="zh-CN"/>
        </w:rPr>
        <w:t>年</w:t>
      </w:r>
      <w:r>
        <w:rPr>
          <w:rFonts w:asciiTheme="minorEastAsia" w:eastAsiaTheme="minorEastAsia" w:hAnsiTheme="minorEastAsia" w:cs="宋体" w:hint="eastAsia"/>
          <w:sz w:val="24"/>
          <w:szCs w:val="24"/>
        </w:rPr>
        <w:t>12</w:t>
      </w:r>
      <w:r>
        <w:rPr>
          <w:rFonts w:asciiTheme="minorEastAsia" w:eastAsiaTheme="minorEastAsia" w:hAnsiTheme="minorEastAsia" w:cs="宋体" w:hint="eastAsia"/>
          <w:sz w:val="24"/>
          <w:szCs w:val="24"/>
          <w:lang w:val="zh-CN"/>
        </w:rPr>
        <w:t>月，调研、资料收集。</w:t>
      </w:r>
    </w:p>
    <w:p w14:paraId="522438AF" w14:textId="77777777" w:rsidR="009220F6" w:rsidRDefault="00000000">
      <w:pPr>
        <w:spacing w:line="360" w:lineRule="auto"/>
        <w:ind w:firstLineChars="200" w:firstLine="480"/>
        <w:rPr>
          <w:rFonts w:asciiTheme="minorEastAsia" w:eastAsiaTheme="minorEastAsia" w:hAnsiTheme="minorEastAsia" w:cs="宋体" w:hint="eastAsia"/>
          <w:sz w:val="24"/>
          <w:szCs w:val="24"/>
          <w:lang w:val="zh-CN"/>
        </w:rPr>
      </w:pPr>
      <w:r>
        <w:rPr>
          <w:rFonts w:asciiTheme="minorEastAsia" w:eastAsiaTheme="minorEastAsia" w:hAnsiTheme="minorEastAsia" w:cs="宋体" w:hint="eastAsia"/>
          <w:sz w:val="24"/>
          <w:szCs w:val="24"/>
          <w:lang w:val="zh-CN"/>
        </w:rPr>
        <w:t>课题组对国内外干散货码头卸船机自动化系统运行现状进行分析研究，充分调研、收集青岛港、烟台港、日照港等港口的卸船机自动化系统运行的各项数据，整理、量化系统各项需求和技术要求，</w:t>
      </w:r>
      <w:r>
        <w:rPr>
          <w:rFonts w:asciiTheme="minorEastAsia" w:eastAsiaTheme="minorEastAsia" w:hAnsiTheme="minorEastAsia" w:cs="宋体" w:hint="eastAsia"/>
          <w:sz w:val="24"/>
          <w:szCs w:val="24"/>
        </w:rPr>
        <w:t>调研了散货码头卸船机自动化系统自动定位模块的标定方式和误差精度，卸船机自动化系统感知模块的数据扫描内容和扫描频率，以及卸船机自动化系统远程操控台的监控画面显示区域、指令交</w:t>
      </w:r>
      <w:r>
        <w:rPr>
          <w:rFonts w:asciiTheme="minorEastAsia" w:eastAsiaTheme="minorEastAsia" w:hAnsiTheme="minorEastAsia" w:cs="宋体" w:hint="eastAsia"/>
          <w:sz w:val="24"/>
          <w:szCs w:val="24"/>
        </w:rPr>
        <w:lastRenderedPageBreak/>
        <w:t>互接口类型和数据统计分析类型，研究了卸船机自动化系统安全防护的功能要求。</w:t>
      </w:r>
      <w:r>
        <w:rPr>
          <w:rFonts w:asciiTheme="minorEastAsia" w:eastAsiaTheme="minorEastAsia" w:hAnsiTheme="minorEastAsia" w:cs="宋体" w:hint="eastAsia"/>
          <w:sz w:val="24"/>
          <w:szCs w:val="24"/>
          <w:lang w:val="zh-CN"/>
        </w:rPr>
        <w:t>课题组对相关调研问题进行总结归纳，编制标准制定研究大纲。</w:t>
      </w:r>
    </w:p>
    <w:p w14:paraId="59315FA5" w14:textId="77777777" w:rsidR="009220F6" w:rsidRDefault="00000000">
      <w:pPr>
        <w:spacing w:line="360" w:lineRule="auto"/>
        <w:ind w:firstLineChars="200" w:firstLine="480"/>
        <w:rPr>
          <w:rFonts w:asciiTheme="minorEastAsia" w:eastAsiaTheme="minorEastAsia" w:hAnsiTheme="minorEastAsia" w:cs="宋体" w:hint="eastAsia"/>
          <w:sz w:val="24"/>
          <w:szCs w:val="24"/>
          <w:lang w:val="zh-CN"/>
        </w:rPr>
      </w:pPr>
      <w:r>
        <w:rPr>
          <w:rFonts w:asciiTheme="minorEastAsia" w:eastAsiaTheme="minorEastAsia" w:hAnsiTheme="minorEastAsia" w:cs="宋体" w:hint="eastAsia"/>
          <w:sz w:val="24"/>
          <w:szCs w:val="24"/>
          <w:lang w:val="zh-CN"/>
        </w:rPr>
        <w:t>2、2025年1月～2025年7月，编写标准研究工作大纲。</w:t>
      </w:r>
    </w:p>
    <w:p w14:paraId="1467FA69" w14:textId="77777777" w:rsidR="009220F6" w:rsidRDefault="00000000">
      <w:pPr>
        <w:spacing w:line="360" w:lineRule="auto"/>
        <w:ind w:firstLineChars="200" w:firstLine="480"/>
        <w:rPr>
          <w:rFonts w:asciiTheme="minorEastAsia" w:eastAsiaTheme="minorEastAsia" w:hAnsiTheme="minorEastAsia" w:cs="宋体" w:hint="eastAsia"/>
          <w:sz w:val="24"/>
          <w:szCs w:val="24"/>
          <w:lang w:val="zh-CN"/>
        </w:rPr>
      </w:pPr>
      <w:r>
        <w:rPr>
          <w:rFonts w:asciiTheme="minorEastAsia" w:eastAsiaTheme="minorEastAsia" w:hAnsiTheme="minorEastAsia" w:cs="宋体" w:hint="eastAsia"/>
          <w:sz w:val="24"/>
          <w:szCs w:val="24"/>
        </w:rPr>
        <w:t>课题组</w:t>
      </w:r>
      <w:r>
        <w:rPr>
          <w:rFonts w:asciiTheme="minorEastAsia" w:eastAsiaTheme="minorEastAsia" w:hAnsiTheme="minorEastAsia" w:cs="宋体" w:hint="eastAsia"/>
          <w:sz w:val="24"/>
          <w:szCs w:val="24"/>
          <w:lang w:val="zh-CN"/>
        </w:rPr>
        <w:t>在充分调研和资料收集的基础上，召开编写组与卸船机自动化系统设计人员专题会，提出标准编制的原则、主要依据及方法，研究标准框架和结构，编写标准研究大纲和标准草案，完成标准研究工作大纲评审。</w:t>
      </w:r>
    </w:p>
    <w:p w14:paraId="41C29D07" w14:textId="77777777" w:rsidR="009220F6" w:rsidRDefault="00000000">
      <w:pPr>
        <w:spacing w:line="360" w:lineRule="auto"/>
        <w:ind w:firstLineChars="200" w:firstLine="480"/>
        <w:rPr>
          <w:rFonts w:asciiTheme="minorEastAsia" w:eastAsiaTheme="minorEastAsia" w:hAnsiTheme="minorEastAsia" w:cs="宋体" w:hint="eastAsia"/>
          <w:sz w:val="24"/>
          <w:szCs w:val="24"/>
          <w:lang w:val="zh-CN"/>
        </w:rPr>
      </w:pPr>
      <w:r>
        <w:rPr>
          <w:rFonts w:asciiTheme="minorEastAsia" w:eastAsiaTheme="minorEastAsia" w:hAnsiTheme="minorEastAsia" w:cs="宋体" w:hint="eastAsia"/>
          <w:sz w:val="24"/>
          <w:szCs w:val="24"/>
          <w:lang w:val="zh-CN"/>
        </w:rPr>
        <w:t>3、2025年8月～2026年2月，完成标准征求意见稿，进行征求意见。</w:t>
      </w:r>
    </w:p>
    <w:p w14:paraId="3027A90B" w14:textId="5AD65FAF" w:rsidR="009220F6" w:rsidRPr="00C52F1B" w:rsidRDefault="00000000">
      <w:pPr>
        <w:spacing w:line="360" w:lineRule="auto"/>
        <w:ind w:firstLineChars="200" w:firstLine="480"/>
        <w:rPr>
          <w:rFonts w:asciiTheme="minorEastAsia" w:eastAsiaTheme="minorEastAsia" w:hAnsiTheme="minorEastAsia" w:cs="宋体" w:hint="eastAsia"/>
          <w:color w:val="EE0000"/>
          <w:sz w:val="24"/>
          <w:szCs w:val="24"/>
          <w:lang w:val="zh-CN"/>
        </w:rPr>
      </w:pPr>
      <w:r w:rsidRPr="004B75D6">
        <w:rPr>
          <w:rFonts w:asciiTheme="minorEastAsia" w:eastAsiaTheme="minorEastAsia" w:hAnsiTheme="minorEastAsia" w:cs="宋体" w:hint="eastAsia"/>
          <w:color w:val="000000" w:themeColor="text1"/>
          <w:sz w:val="24"/>
          <w:szCs w:val="24"/>
        </w:rPr>
        <w:t>课题组</w:t>
      </w:r>
      <w:r w:rsidRPr="004B75D6">
        <w:rPr>
          <w:rFonts w:asciiTheme="minorEastAsia" w:eastAsiaTheme="minorEastAsia" w:hAnsiTheme="minorEastAsia" w:cs="宋体" w:hint="eastAsia"/>
          <w:color w:val="000000" w:themeColor="text1"/>
          <w:sz w:val="24"/>
          <w:szCs w:val="24"/>
          <w:lang w:val="zh-CN"/>
        </w:rPr>
        <w:t>根据标准大纲审查意见，修改完善标准研究工作大纲和标准草案，补充进行卸船机自动化系统调研，通过深入分析和研究卸船机自动化系统相关技术，召开专家咨询会，根据专家咨询会的意见，完善标准草案，形成征求意见稿</w:t>
      </w:r>
      <w:r w:rsidR="004B75D6" w:rsidRPr="004B75D6">
        <w:rPr>
          <w:rFonts w:asciiTheme="minorEastAsia" w:eastAsiaTheme="minorEastAsia" w:hAnsiTheme="minorEastAsia" w:cs="宋体" w:hint="eastAsia"/>
          <w:color w:val="000000" w:themeColor="text1"/>
          <w:sz w:val="24"/>
          <w:szCs w:val="24"/>
          <w:lang w:val="zh-CN"/>
        </w:rPr>
        <w:t>和编制说明。</w:t>
      </w:r>
    </w:p>
    <w:p w14:paraId="50EB06B7" w14:textId="77777777" w:rsidR="009220F6" w:rsidRDefault="00000000">
      <w:pPr>
        <w:spacing w:line="360" w:lineRule="auto"/>
        <w:rPr>
          <w:rFonts w:ascii="黑体" w:eastAsia="黑体" w:hAnsi="黑体" w:hint="eastAsia"/>
          <w:szCs w:val="21"/>
        </w:rPr>
      </w:pPr>
      <w:bookmarkStart w:id="11" w:name="_Toc46098151"/>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标准编制原则和确定标准主要内容</w:t>
      </w:r>
      <w:r>
        <w:rPr>
          <w:rFonts w:asciiTheme="minorEastAsia" w:eastAsiaTheme="minorEastAsia" w:hAnsiTheme="minorEastAsia" w:hint="eastAsia"/>
          <w:b/>
          <w:sz w:val="24"/>
          <w:szCs w:val="24"/>
        </w:rPr>
        <w:t>的依据</w:t>
      </w:r>
      <w:bookmarkEnd w:id="11"/>
    </w:p>
    <w:p w14:paraId="636D731E" w14:textId="77777777" w:rsidR="009220F6" w:rsidRDefault="00000000">
      <w:pPr>
        <w:spacing w:beforeLines="50" w:before="156" w:line="360" w:lineRule="auto"/>
        <w:outlineLvl w:val="1"/>
        <w:rPr>
          <w:rFonts w:asciiTheme="minorEastAsia" w:eastAsiaTheme="minorEastAsia" w:hAnsiTheme="minorEastAsia" w:hint="eastAsia"/>
          <w:b/>
          <w:sz w:val="24"/>
          <w:szCs w:val="24"/>
        </w:rPr>
      </w:pPr>
      <w:bookmarkStart w:id="12" w:name="_Toc26972785"/>
      <w:r>
        <w:rPr>
          <w:rFonts w:asciiTheme="minorEastAsia" w:eastAsiaTheme="minorEastAsia" w:hAnsiTheme="minorEastAsia" w:hint="eastAsia"/>
          <w:b/>
          <w:sz w:val="24"/>
          <w:szCs w:val="24"/>
        </w:rPr>
        <w:t>（一）</w:t>
      </w:r>
      <w:r>
        <w:rPr>
          <w:rFonts w:asciiTheme="minorEastAsia" w:eastAsiaTheme="minorEastAsia" w:hAnsiTheme="minorEastAsia"/>
          <w:b/>
          <w:sz w:val="24"/>
          <w:szCs w:val="24"/>
        </w:rPr>
        <w:t>标准编制原则</w:t>
      </w:r>
      <w:bookmarkEnd w:id="12"/>
    </w:p>
    <w:p w14:paraId="78E64187"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本标准按GB/T 1.1-</w:t>
      </w:r>
      <w:r>
        <w:rPr>
          <w:rFonts w:asciiTheme="minorEastAsia" w:eastAsiaTheme="minorEastAsia" w:hAnsiTheme="minorEastAsia"/>
          <w:sz w:val="24"/>
          <w:szCs w:val="24"/>
        </w:rPr>
        <w:t>2020</w:t>
      </w:r>
      <w:r>
        <w:rPr>
          <w:rFonts w:asciiTheme="minorEastAsia" w:eastAsiaTheme="minorEastAsia" w:hAnsiTheme="minorEastAsia" w:hint="eastAsia"/>
          <w:sz w:val="24"/>
          <w:szCs w:val="24"/>
        </w:rPr>
        <w:t>给出的规则起草。</w:t>
      </w:r>
    </w:p>
    <w:p w14:paraId="346CCD02"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适用性原则：标准制定的相关内容应便于使用，一方面应适于直接使用，另一方面也应考虑便于被其它文件引用。</w:t>
      </w:r>
    </w:p>
    <w:p w14:paraId="4D018E08"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协调性原则：应考虑标准之间的整体协调，在制定标准时应注意和已经发布的标准进行协调，遵守基础标准和采取引用的方式是保证标准协调的有效途径。</w:t>
      </w:r>
    </w:p>
    <w:p w14:paraId="4FB2AD9C"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规范性原则：起草标准时遵守与标准制定有关的基础标准和相关法律法规。</w:t>
      </w:r>
    </w:p>
    <w:p w14:paraId="14BB184F"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sz w:val="24"/>
          <w:szCs w:val="24"/>
        </w:rPr>
        <w:t>先进性原则</w:t>
      </w:r>
      <w:r>
        <w:rPr>
          <w:rFonts w:asciiTheme="minorEastAsia" w:eastAsiaTheme="minorEastAsia" w:hAnsiTheme="minorEastAsia" w:hint="eastAsia"/>
          <w:sz w:val="24"/>
          <w:szCs w:val="24"/>
        </w:rPr>
        <w:t>：起草标准时注重集装箱码头自动驾驶车辆路径导航数据交互领域的技术进步和技术创新。</w:t>
      </w:r>
    </w:p>
    <w:p w14:paraId="68A051FC" w14:textId="77777777" w:rsidR="009220F6" w:rsidRDefault="00000000">
      <w:pPr>
        <w:spacing w:beforeLines="50" w:before="156" w:line="360" w:lineRule="auto"/>
        <w:outlineLvl w:val="1"/>
        <w:rPr>
          <w:rFonts w:asciiTheme="minorEastAsia" w:eastAsiaTheme="minorEastAsia" w:hAnsiTheme="minorEastAsia" w:hint="eastAsia"/>
          <w:b/>
          <w:sz w:val="24"/>
          <w:szCs w:val="24"/>
        </w:rPr>
      </w:pPr>
      <w:bookmarkStart w:id="13" w:name="_Toc26972786"/>
      <w:r>
        <w:rPr>
          <w:rFonts w:asciiTheme="minorEastAsia" w:eastAsiaTheme="minorEastAsia" w:hAnsiTheme="minorEastAsia" w:hint="eastAsia"/>
          <w:b/>
          <w:sz w:val="24"/>
          <w:szCs w:val="24"/>
        </w:rPr>
        <w:t>（二）</w:t>
      </w:r>
      <w:r>
        <w:rPr>
          <w:rFonts w:asciiTheme="minorEastAsia" w:eastAsiaTheme="minorEastAsia" w:hAnsiTheme="minorEastAsia"/>
          <w:b/>
          <w:sz w:val="24"/>
          <w:szCs w:val="24"/>
        </w:rPr>
        <w:t>确定标准主要内容</w:t>
      </w:r>
      <w:r>
        <w:rPr>
          <w:rFonts w:asciiTheme="minorEastAsia" w:eastAsiaTheme="minorEastAsia" w:hAnsiTheme="minorEastAsia" w:hint="eastAsia"/>
          <w:b/>
          <w:sz w:val="24"/>
          <w:szCs w:val="24"/>
        </w:rPr>
        <w:t>的依据</w:t>
      </w:r>
      <w:bookmarkEnd w:id="13"/>
    </w:p>
    <w:p w14:paraId="6DB3C0B2"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本文件规定了卸船机自动化系统的构成和配置、一般要求，感知、定位、控制、操控台和安全防护等技术要求。</w:t>
      </w:r>
    </w:p>
    <w:p w14:paraId="153B0DB5"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本文件适用于卸船机自动化系统的设计、开发及使用。</w:t>
      </w:r>
    </w:p>
    <w:p w14:paraId="3B0640DD"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本标准主要内容：第1章</w:t>
      </w:r>
      <w:r>
        <w:rPr>
          <w:rFonts w:asciiTheme="minorEastAsia" w:eastAsiaTheme="minorEastAsia" w:hAnsiTheme="minorEastAsia"/>
          <w:sz w:val="24"/>
          <w:szCs w:val="24"/>
        </w:rPr>
        <w:t xml:space="preserve"> </w:t>
      </w:r>
      <w:r>
        <w:rPr>
          <w:rFonts w:asciiTheme="minorEastAsia" w:eastAsiaTheme="minorEastAsia" w:hAnsiTheme="minorEastAsia" w:hint="eastAsia"/>
          <w:sz w:val="24"/>
          <w:szCs w:val="24"/>
        </w:rPr>
        <w:t>范围；第2章 规范性引用文件；第3章 术语和</w:t>
      </w:r>
      <w:r>
        <w:rPr>
          <w:rFonts w:asciiTheme="minorEastAsia" w:eastAsiaTheme="minorEastAsia" w:hAnsiTheme="minorEastAsia" w:hint="eastAsia"/>
          <w:sz w:val="24"/>
          <w:szCs w:val="24"/>
        </w:rPr>
        <w:lastRenderedPageBreak/>
        <w:t>定义；第4章 系统构成与配置；第5章 一般要求；第6章 感知；第7章 定位；第8章 控制；第9章 操控台；第10章 安全防护。</w:t>
      </w:r>
    </w:p>
    <w:p w14:paraId="65AF3ABC"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本标准编制的内容包括如下。</w:t>
      </w:r>
    </w:p>
    <w:p w14:paraId="7E3449DE" w14:textId="77777777" w:rsidR="009220F6" w:rsidRDefault="00000000">
      <w:pPr>
        <w:spacing w:beforeLines="50" w:before="156" w:line="360" w:lineRule="auto"/>
        <w:ind w:firstLine="420"/>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1</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第1章  范围</w:t>
      </w:r>
    </w:p>
    <w:p w14:paraId="7386BEC6"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本文件规定了卸船机自动化系统的构成和配置、一般要求，感知、定位、控制、操控台和安全防护等技术要求。本文件适用于卸船机自动化系统的设计、开发及使用。</w:t>
      </w:r>
    </w:p>
    <w:p w14:paraId="7E7FBEF6"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依据：本标准的范围基于标准编写的主要目的进行界定。</w:t>
      </w:r>
    </w:p>
    <w:p w14:paraId="05CDE9A4" w14:textId="77777777" w:rsidR="009220F6" w:rsidRDefault="00000000">
      <w:pPr>
        <w:spacing w:beforeLines="50" w:before="156" w:line="360" w:lineRule="auto"/>
        <w:ind w:firstLine="420"/>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2</w:t>
      </w:r>
      <w:r>
        <w:rPr>
          <w:rFonts w:asciiTheme="minorEastAsia" w:eastAsiaTheme="minorEastAsia" w:hAnsiTheme="minorEastAsia"/>
          <w:b/>
          <w:sz w:val="24"/>
          <w:szCs w:val="24"/>
        </w:rPr>
        <w:t>.</w:t>
      </w:r>
      <w:r>
        <w:rPr>
          <w:rFonts w:asciiTheme="minorEastAsia" w:eastAsiaTheme="minorEastAsia" w:hAnsiTheme="minorEastAsia" w:hint="eastAsia"/>
          <w:b/>
          <w:sz w:val="24"/>
          <w:szCs w:val="24"/>
        </w:rPr>
        <w:t xml:space="preserve">第2章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规范性引用文件</w:t>
      </w:r>
    </w:p>
    <w:p w14:paraId="4788FF3C" w14:textId="77777777"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本标准引用了如下标准：</w:t>
      </w:r>
    </w:p>
    <w:p w14:paraId="063AE8E3"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GB 2894</w:t>
      </w:r>
      <w:r>
        <w:rPr>
          <w:rFonts w:asciiTheme="minorEastAsia" w:eastAsiaTheme="minorEastAsia" w:hAnsiTheme="minorEastAsia" w:hint="eastAsia"/>
          <w:kern w:val="2"/>
          <w:sz w:val="24"/>
          <w:szCs w:val="24"/>
        </w:rPr>
        <w:tab/>
        <w:t>安全色和安全标志</w:t>
      </w:r>
    </w:p>
    <w:p w14:paraId="0B7CC2A5"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GB/T 4205</w:t>
      </w:r>
      <w:r>
        <w:rPr>
          <w:rFonts w:asciiTheme="minorEastAsia" w:eastAsiaTheme="minorEastAsia" w:hAnsiTheme="minorEastAsia" w:hint="eastAsia"/>
          <w:kern w:val="2"/>
          <w:sz w:val="24"/>
          <w:szCs w:val="24"/>
        </w:rPr>
        <w:tab/>
        <w:t>人机界面标志标识的基本和安全规则 操作规则</w:t>
      </w:r>
    </w:p>
    <w:p w14:paraId="60D4A2FA"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GB/T 6974.1</w:t>
      </w:r>
      <w:r>
        <w:rPr>
          <w:rFonts w:asciiTheme="minorEastAsia" w:eastAsiaTheme="minorEastAsia" w:hAnsiTheme="minorEastAsia" w:hint="eastAsia"/>
          <w:kern w:val="2"/>
          <w:sz w:val="24"/>
          <w:szCs w:val="24"/>
        </w:rPr>
        <w:tab/>
        <w:t>起重机 术语 第1部分：通用术语</w:t>
      </w:r>
    </w:p>
    <w:p w14:paraId="6DCA07CB"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GB/T 18224</w:t>
      </w:r>
      <w:r>
        <w:rPr>
          <w:rFonts w:asciiTheme="minorEastAsia" w:eastAsiaTheme="minorEastAsia" w:hAnsiTheme="minorEastAsia" w:hint="eastAsia"/>
          <w:kern w:val="2"/>
          <w:sz w:val="24"/>
          <w:szCs w:val="24"/>
        </w:rPr>
        <w:tab/>
        <w:t>桥式抓斗卸船</w:t>
      </w:r>
      <w:proofErr w:type="gramStart"/>
      <w:r>
        <w:rPr>
          <w:rFonts w:asciiTheme="minorEastAsia" w:eastAsiaTheme="minorEastAsia" w:hAnsiTheme="minorEastAsia" w:hint="eastAsia"/>
          <w:kern w:val="2"/>
          <w:sz w:val="24"/>
          <w:szCs w:val="24"/>
        </w:rPr>
        <w:t>机安全</w:t>
      </w:r>
      <w:proofErr w:type="gramEnd"/>
      <w:r>
        <w:rPr>
          <w:rFonts w:asciiTheme="minorEastAsia" w:eastAsiaTheme="minorEastAsia" w:hAnsiTheme="minorEastAsia" w:hint="eastAsia"/>
          <w:kern w:val="2"/>
          <w:sz w:val="24"/>
          <w:szCs w:val="24"/>
        </w:rPr>
        <w:t>规程</w:t>
      </w:r>
    </w:p>
    <w:p w14:paraId="04C16D27"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GB/T 22239</w:t>
      </w:r>
      <w:r>
        <w:rPr>
          <w:rFonts w:asciiTheme="minorEastAsia" w:eastAsiaTheme="minorEastAsia" w:hAnsiTheme="minorEastAsia" w:hint="eastAsia"/>
          <w:kern w:val="2"/>
          <w:sz w:val="24"/>
          <w:szCs w:val="24"/>
        </w:rPr>
        <w:tab/>
        <w:t>信息安全技术 网络安全等级保护基本要求</w:t>
      </w:r>
    </w:p>
    <w:p w14:paraId="2DED8CA3"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GB/T 26475</w:t>
      </w:r>
      <w:r>
        <w:rPr>
          <w:rFonts w:asciiTheme="minorEastAsia" w:eastAsiaTheme="minorEastAsia" w:hAnsiTheme="minorEastAsia" w:hint="eastAsia"/>
          <w:kern w:val="2"/>
          <w:sz w:val="24"/>
          <w:szCs w:val="24"/>
        </w:rPr>
        <w:tab/>
        <w:t>桥式抓斗卸船机</w:t>
      </w:r>
    </w:p>
    <w:p w14:paraId="6C3D1DF6"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GB/T 37934</w:t>
      </w:r>
      <w:r>
        <w:rPr>
          <w:rFonts w:asciiTheme="minorEastAsia" w:eastAsiaTheme="minorEastAsia" w:hAnsiTheme="minorEastAsia" w:hint="eastAsia"/>
          <w:kern w:val="2"/>
          <w:sz w:val="24"/>
          <w:szCs w:val="24"/>
        </w:rPr>
        <w:tab/>
        <w:t>信息安全技术 工业控制网络安全隔离与信息交换系统安全技术要求</w:t>
      </w:r>
    </w:p>
    <w:p w14:paraId="046FBAC2"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GB/T 50115</w:t>
      </w:r>
      <w:r>
        <w:rPr>
          <w:rFonts w:asciiTheme="minorEastAsia" w:eastAsiaTheme="minorEastAsia" w:hAnsiTheme="minorEastAsia" w:hint="eastAsia"/>
          <w:kern w:val="2"/>
          <w:sz w:val="24"/>
          <w:szCs w:val="24"/>
        </w:rPr>
        <w:tab/>
        <w:t>工业电视系统工程设计标准</w:t>
      </w:r>
    </w:p>
    <w:p w14:paraId="33F0169E"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JT/T 90</w:t>
      </w:r>
      <w:r>
        <w:rPr>
          <w:rFonts w:asciiTheme="minorEastAsia" w:eastAsiaTheme="minorEastAsia" w:hAnsiTheme="minorEastAsia" w:hint="eastAsia"/>
          <w:kern w:val="2"/>
          <w:sz w:val="24"/>
          <w:szCs w:val="24"/>
        </w:rPr>
        <w:tab/>
        <w:t>港口装卸机械风载荷计算及防风安全要求</w:t>
      </w:r>
    </w:p>
    <w:p w14:paraId="22449640"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JT/T 622</w:t>
      </w:r>
      <w:r>
        <w:rPr>
          <w:rFonts w:asciiTheme="minorEastAsia" w:eastAsiaTheme="minorEastAsia" w:hAnsiTheme="minorEastAsia" w:hint="eastAsia"/>
          <w:kern w:val="2"/>
          <w:sz w:val="24"/>
          <w:szCs w:val="24"/>
        </w:rPr>
        <w:tab/>
        <w:t>港口装卸机械电气安全规程</w:t>
      </w:r>
    </w:p>
    <w:p w14:paraId="3E3F1C11"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JT/T 1417</w:t>
      </w:r>
      <w:r>
        <w:rPr>
          <w:rFonts w:asciiTheme="minorEastAsia" w:eastAsiaTheme="minorEastAsia" w:hAnsiTheme="minorEastAsia" w:hint="eastAsia"/>
          <w:kern w:val="2"/>
          <w:sz w:val="24"/>
          <w:szCs w:val="24"/>
        </w:rPr>
        <w:tab/>
        <w:t>交通运输行业网络安全等级保护基本要求</w:t>
      </w:r>
    </w:p>
    <w:p w14:paraId="6C2400FC" w14:textId="77777777" w:rsidR="009220F6" w:rsidRDefault="00000000">
      <w:pPr>
        <w:pStyle w:val="afd"/>
        <w:spacing w:line="360" w:lineRule="auto"/>
        <w:ind w:firstLine="480"/>
        <w:rPr>
          <w:rFonts w:asciiTheme="minorEastAsia" w:eastAsiaTheme="minorEastAsia" w:hAnsiTheme="minorEastAsia" w:hint="eastAsia"/>
          <w:kern w:val="2"/>
          <w:sz w:val="24"/>
          <w:szCs w:val="24"/>
        </w:rPr>
      </w:pPr>
      <w:r>
        <w:rPr>
          <w:rFonts w:asciiTheme="minorEastAsia" w:eastAsiaTheme="minorEastAsia" w:hAnsiTheme="minorEastAsia" w:hint="eastAsia"/>
          <w:kern w:val="2"/>
          <w:sz w:val="24"/>
          <w:szCs w:val="24"/>
        </w:rPr>
        <w:t>GA/T 1211</w:t>
      </w:r>
      <w:r>
        <w:rPr>
          <w:rFonts w:asciiTheme="minorEastAsia" w:eastAsiaTheme="minorEastAsia" w:hAnsiTheme="minorEastAsia" w:hint="eastAsia"/>
          <w:kern w:val="2"/>
          <w:sz w:val="24"/>
          <w:szCs w:val="24"/>
        </w:rPr>
        <w:tab/>
        <w:t>安全</w:t>
      </w:r>
      <w:proofErr w:type="gramStart"/>
      <w:r>
        <w:rPr>
          <w:rFonts w:asciiTheme="minorEastAsia" w:eastAsiaTheme="minorEastAsia" w:hAnsiTheme="minorEastAsia" w:hint="eastAsia"/>
          <w:kern w:val="2"/>
          <w:sz w:val="24"/>
          <w:szCs w:val="24"/>
        </w:rPr>
        <w:t>防范高</w:t>
      </w:r>
      <w:proofErr w:type="gramEnd"/>
      <w:r>
        <w:rPr>
          <w:rFonts w:asciiTheme="minorEastAsia" w:eastAsiaTheme="minorEastAsia" w:hAnsiTheme="minorEastAsia" w:hint="eastAsia"/>
          <w:kern w:val="2"/>
          <w:sz w:val="24"/>
          <w:szCs w:val="24"/>
        </w:rPr>
        <w:t>清视频监控系统技术要求</w:t>
      </w:r>
    </w:p>
    <w:p w14:paraId="0C1D2160" w14:textId="74A5AE38" w:rsidR="009220F6" w:rsidRDefault="004B75D6">
      <w:pPr>
        <w:pStyle w:val="afd"/>
        <w:spacing w:line="360" w:lineRule="auto"/>
        <w:ind w:firstLine="480"/>
        <w:rPr>
          <w:rFonts w:asciiTheme="minorEastAsia" w:eastAsiaTheme="minorEastAsia" w:hAnsiTheme="minorEastAsia" w:hint="eastAsia"/>
          <w:sz w:val="24"/>
          <w:szCs w:val="24"/>
        </w:rPr>
      </w:pPr>
      <w:r w:rsidRPr="004B75D6">
        <w:rPr>
          <w:rFonts w:asciiTheme="minorEastAsia" w:eastAsiaTheme="minorEastAsia" w:hAnsiTheme="minorEastAsia" w:hint="eastAsia"/>
          <w:kern w:val="2"/>
          <w:sz w:val="24"/>
          <w:szCs w:val="24"/>
        </w:rPr>
        <w:t>依据：标准</w:t>
      </w:r>
      <w:r w:rsidR="00000000" w:rsidRPr="004B75D6">
        <w:rPr>
          <w:rFonts w:asciiTheme="minorEastAsia" w:eastAsiaTheme="minorEastAsia" w:hAnsiTheme="minorEastAsia" w:hint="eastAsia"/>
          <w:kern w:val="2"/>
          <w:sz w:val="24"/>
          <w:szCs w:val="24"/>
        </w:rPr>
        <w:t>涉及</w:t>
      </w:r>
      <w:r w:rsidRPr="004B75D6">
        <w:rPr>
          <w:rFonts w:asciiTheme="minorEastAsia" w:eastAsiaTheme="minorEastAsia" w:hAnsiTheme="minorEastAsia" w:hint="eastAsia"/>
          <w:kern w:val="2"/>
          <w:sz w:val="24"/>
          <w:szCs w:val="24"/>
        </w:rPr>
        <w:t>相关</w:t>
      </w:r>
      <w:r w:rsidR="00000000" w:rsidRPr="004B75D6">
        <w:rPr>
          <w:rFonts w:asciiTheme="minorEastAsia" w:eastAsiaTheme="minorEastAsia" w:hAnsiTheme="minorEastAsia" w:hint="eastAsia"/>
          <w:kern w:val="2"/>
          <w:sz w:val="24"/>
          <w:szCs w:val="24"/>
        </w:rPr>
        <w:t>术语的引用，</w:t>
      </w:r>
      <w:r>
        <w:rPr>
          <w:rFonts w:asciiTheme="minorEastAsia" w:eastAsiaTheme="minorEastAsia" w:hAnsiTheme="minorEastAsia" w:hint="eastAsia"/>
          <w:kern w:val="2"/>
          <w:sz w:val="24"/>
          <w:szCs w:val="24"/>
        </w:rPr>
        <w:t>以及</w:t>
      </w:r>
      <w:r w:rsidR="00000000">
        <w:rPr>
          <w:rFonts w:asciiTheme="minorEastAsia" w:eastAsiaTheme="minorEastAsia" w:hAnsiTheme="minorEastAsia" w:hint="eastAsia"/>
          <w:sz w:val="24"/>
          <w:szCs w:val="24"/>
        </w:rPr>
        <w:t>卸船机安全</w:t>
      </w:r>
      <w:r>
        <w:rPr>
          <w:rFonts w:asciiTheme="minorEastAsia" w:eastAsiaTheme="minorEastAsia" w:hAnsiTheme="minorEastAsia" w:hint="eastAsia"/>
          <w:sz w:val="24"/>
          <w:szCs w:val="24"/>
        </w:rPr>
        <w:t>、</w:t>
      </w:r>
      <w:r w:rsidR="00000000">
        <w:rPr>
          <w:rFonts w:asciiTheme="minorEastAsia" w:eastAsiaTheme="minorEastAsia" w:hAnsiTheme="minorEastAsia" w:hint="eastAsia"/>
          <w:sz w:val="24"/>
          <w:szCs w:val="24"/>
        </w:rPr>
        <w:t>信息安全等。</w:t>
      </w:r>
    </w:p>
    <w:p w14:paraId="54961513" w14:textId="4536343B" w:rsidR="009220F6" w:rsidRDefault="00000000">
      <w:pPr>
        <w:spacing w:beforeLines="50" w:before="156" w:line="360" w:lineRule="auto"/>
        <w:ind w:firstLine="420"/>
        <w:rPr>
          <w:rFonts w:asciiTheme="minorEastAsia" w:eastAsiaTheme="minorEastAsia" w:hAnsiTheme="minorEastAsia" w:hint="eastAsia"/>
          <w:b/>
          <w:sz w:val="24"/>
          <w:szCs w:val="24"/>
        </w:rPr>
      </w:pPr>
      <w:r>
        <w:rPr>
          <w:rFonts w:asciiTheme="minorEastAsia" w:eastAsiaTheme="minorEastAsia" w:hAnsiTheme="minorEastAsia"/>
          <w:b/>
          <w:sz w:val="24"/>
          <w:szCs w:val="24"/>
        </w:rPr>
        <w:t>3</w:t>
      </w:r>
      <w:r>
        <w:rPr>
          <w:rFonts w:asciiTheme="minorEastAsia" w:eastAsiaTheme="minorEastAsia" w:hAnsiTheme="minorEastAsia" w:hint="eastAsia"/>
          <w:b/>
          <w:sz w:val="24"/>
          <w:szCs w:val="24"/>
        </w:rPr>
        <w:t>.第3章  术语和定义</w:t>
      </w:r>
      <w:r w:rsidR="007C166E">
        <w:rPr>
          <w:rFonts w:asciiTheme="minorEastAsia" w:eastAsiaTheme="minorEastAsia" w:hAnsiTheme="minorEastAsia" w:hint="eastAsia"/>
          <w:b/>
          <w:sz w:val="24"/>
          <w:szCs w:val="24"/>
        </w:rPr>
        <w:t>、缩略语</w:t>
      </w:r>
    </w:p>
    <w:p w14:paraId="1CB35265" w14:textId="77777777" w:rsidR="009220F6" w:rsidRDefault="00000000">
      <w:pPr>
        <w:spacing w:beforeLines="50" w:before="156" w:line="360" w:lineRule="auto"/>
        <w:ind w:firstLine="420"/>
      </w:pPr>
      <w:r>
        <w:rPr>
          <w:rFonts w:asciiTheme="minorEastAsia" w:eastAsiaTheme="minorEastAsia" w:hAnsiTheme="minorEastAsia"/>
          <w:sz w:val="24"/>
          <w:szCs w:val="24"/>
        </w:rPr>
        <w:t>该</w:t>
      </w:r>
      <w:r>
        <w:rPr>
          <w:rFonts w:asciiTheme="minorEastAsia" w:eastAsiaTheme="minorEastAsia" w:hAnsiTheme="minorEastAsia" w:hint="eastAsia"/>
          <w:sz w:val="24"/>
          <w:szCs w:val="24"/>
        </w:rPr>
        <w:t>章</w:t>
      </w:r>
      <w:r>
        <w:rPr>
          <w:rFonts w:asciiTheme="minorEastAsia" w:eastAsiaTheme="minorEastAsia" w:hAnsiTheme="minorEastAsia"/>
          <w:sz w:val="24"/>
          <w:szCs w:val="24"/>
        </w:rPr>
        <w:t>主要阐述了</w:t>
      </w:r>
      <w:r>
        <w:rPr>
          <w:rFonts w:asciiTheme="minorEastAsia" w:eastAsiaTheme="minorEastAsia" w:hAnsiTheme="minorEastAsia" w:hint="eastAsia"/>
          <w:sz w:val="24"/>
          <w:szCs w:val="24"/>
        </w:rPr>
        <w:t>卸船机自动化系统技术要求</w:t>
      </w:r>
      <w:r>
        <w:rPr>
          <w:rFonts w:asciiTheme="minorEastAsia" w:eastAsiaTheme="minorEastAsia" w:hAnsiTheme="minorEastAsia"/>
          <w:sz w:val="24"/>
          <w:szCs w:val="24"/>
        </w:rPr>
        <w:t>中所涉及的术语和相关定义</w:t>
      </w:r>
      <w:r>
        <w:rPr>
          <w:rFonts w:asciiTheme="minorEastAsia" w:eastAsiaTheme="minorEastAsia" w:hAnsiTheme="minorEastAsia" w:hint="eastAsia"/>
          <w:sz w:val="24"/>
          <w:szCs w:val="24"/>
        </w:rPr>
        <w:t>。</w:t>
      </w:r>
    </w:p>
    <w:p w14:paraId="3DD2F52A" w14:textId="77777777" w:rsidR="009220F6" w:rsidRDefault="00000000">
      <w:pPr>
        <w:pStyle w:val="afd"/>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（1）条款3.1.1</w:t>
      </w:r>
    </w:p>
    <w:p w14:paraId="58CFB174" w14:textId="335C43DB" w:rsidR="004B75D6" w:rsidRDefault="00000000">
      <w:pPr>
        <w:pStyle w:val="afd"/>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“卸船机自动化系统（</w:t>
      </w:r>
      <w:r>
        <w:rPr>
          <w:rFonts w:asciiTheme="minorEastAsia" w:eastAsiaTheme="minorEastAsia" w:hAnsiTheme="minorEastAsia"/>
          <w:sz w:val="24"/>
          <w:szCs w:val="24"/>
        </w:rPr>
        <w:t>ship unloader automation system</w:t>
      </w:r>
      <w:r>
        <w:rPr>
          <w:rFonts w:asciiTheme="minorEastAsia" w:eastAsiaTheme="minorEastAsia" w:hAnsiTheme="minorEastAsia" w:hint="eastAsia"/>
          <w:sz w:val="24"/>
          <w:szCs w:val="24"/>
        </w:rPr>
        <w:t>）”定义为“采用感知、定位、控制、可视化等技术，实现矿石、煤炭等干散货从海侧船舱通过陆侧料斗至输送带作业过程的自动化系统。”</w:t>
      </w:r>
    </w:p>
    <w:p w14:paraId="4DD32C77" w14:textId="515D5F38" w:rsidR="009220F6" w:rsidRDefault="00000000">
      <w:pPr>
        <w:pStyle w:val="afd"/>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参照</w:t>
      </w:r>
      <w:r w:rsidR="007C166E">
        <w:rPr>
          <w:rFonts w:asciiTheme="minorEastAsia" w:eastAsiaTheme="minorEastAsia" w:hAnsiTheme="minorEastAsia" w:hint="eastAsia"/>
          <w:sz w:val="24"/>
          <w:szCs w:val="24"/>
        </w:rPr>
        <w:t>了</w:t>
      </w:r>
      <w:r>
        <w:rPr>
          <w:rFonts w:asciiTheme="minorEastAsia" w:eastAsiaTheme="minorEastAsia" w:hAnsiTheme="minorEastAsia" w:hint="eastAsia"/>
          <w:sz w:val="24"/>
          <w:szCs w:val="24"/>
        </w:rPr>
        <w:t>《桥式抓斗卸船机》（GB/T 26475）中对卸船机全自动操作方式需求</w:t>
      </w:r>
      <w:r w:rsidR="004B75D6">
        <w:rPr>
          <w:rFonts w:asciiTheme="minorEastAsia" w:eastAsiaTheme="minorEastAsia" w:hAnsiTheme="minorEastAsia" w:hint="eastAsia"/>
          <w:sz w:val="24"/>
          <w:szCs w:val="24"/>
        </w:rPr>
        <w:t>，</w:t>
      </w:r>
      <w:r w:rsidR="007C166E">
        <w:rPr>
          <w:rFonts w:asciiTheme="minorEastAsia" w:eastAsiaTheme="minorEastAsia" w:hAnsiTheme="minorEastAsia" w:hint="eastAsia"/>
          <w:sz w:val="24"/>
          <w:szCs w:val="24"/>
        </w:rPr>
        <w:t>并</w:t>
      </w:r>
      <w:r w:rsidR="004B75D6">
        <w:rPr>
          <w:rFonts w:asciiTheme="minorEastAsia" w:eastAsiaTheme="minorEastAsia" w:hAnsiTheme="minorEastAsia" w:hint="eastAsia"/>
          <w:sz w:val="24"/>
          <w:szCs w:val="24"/>
        </w:rPr>
        <w:t>根据卸船机自动化系统的</w:t>
      </w:r>
      <w:r w:rsidR="007C166E">
        <w:rPr>
          <w:rFonts w:asciiTheme="minorEastAsia" w:eastAsiaTheme="minorEastAsia" w:hAnsiTheme="minorEastAsia" w:hint="eastAsia"/>
          <w:sz w:val="24"/>
          <w:szCs w:val="24"/>
        </w:rPr>
        <w:t>特点和作用给出定义</w:t>
      </w:r>
      <w:r>
        <w:rPr>
          <w:rFonts w:asciiTheme="minorEastAsia" w:eastAsiaTheme="minorEastAsia" w:hAnsiTheme="minorEastAsia" w:hint="eastAsia"/>
          <w:sz w:val="24"/>
          <w:szCs w:val="24"/>
        </w:rPr>
        <w:t>。</w:t>
      </w:r>
    </w:p>
    <w:p w14:paraId="71041E68" w14:textId="77777777" w:rsidR="009220F6" w:rsidRDefault="00000000">
      <w:pPr>
        <w:pStyle w:val="afd"/>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（2）条款3.1.2</w:t>
      </w:r>
    </w:p>
    <w:p w14:paraId="4DBF3F3C" w14:textId="77777777" w:rsidR="007C166E" w:rsidRDefault="00000000">
      <w:pPr>
        <w:pStyle w:val="afd"/>
        <w:spacing w:line="360" w:lineRule="auto"/>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“最佳取料点（</w:t>
      </w:r>
      <w:r>
        <w:rPr>
          <w:rFonts w:asciiTheme="minorEastAsia" w:eastAsiaTheme="minorEastAsia" w:hAnsiTheme="minorEastAsia"/>
          <w:sz w:val="24"/>
          <w:szCs w:val="24"/>
        </w:rPr>
        <w:t>optimal pickup point</w:t>
      </w:r>
      <w:r>
        <w:rPr>
          <w:rFonts w:asciiTheme="minorEastAsia" w:eastAsiaTheme="minorEastAsia" w:hAnsiTheme="minorEastAsia" w:hint="eastAsia"/>
          <w:sz w:val="24"/>
          <w:szCs w:val="24"/>
        </w:rPr>
        <w:t>）”定义为“具备作业效率高、安全性强等特征的卸船取料点。”</w:t>
      </w:r>
    </w:p>
    <w:p w14:paraId="701EBA45" w14:textId="3D595A85" w:rsidR="009220F6" w:rsidRDefault="00000000">
      <w:pPr>
        <w:pStyle w:val="afd"/>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参照《起重机 术语 第1部分：通用术语》（GB/T 6974.1）中4.2.4吊钩极限位置与《桥式抓斗卸船机》（GB/T 26475）中6.8.1额定生产率</w:t>
      </w:r>
      <w:r w:rsidR="00A2386C">
        <w:rPr>
          <w:rFonts w:asciiTheme="minorEastAsia" w:eastAsiaTheme="minorEastAsia" w:hAnsiTheme="minorEastAsia" w:hint="eastAsia"/>
          <w:sz w:val="24"/>
          <w:szCs w:val="24"/>
        </w:rPr>
        <w:t>等定义内容</w:t>
      </w:r>
      <w:r>
        <w:rPr>
          <w:rFonts w:asciiTheme="minorEastAsia" w:eastAsiaTheme="minorEastAsia" w:hAnsiTheme="minorEastAsia" w:hint="eastAsia"/>
          <w:sz w:val="24"/>
          <w:szCs w:val="24"/>
        </w:rPr>
        <w:t>，</w:t>
      </w:r>
      <w:r w:rsidR="00A2386C">
        <w:rPr>
          <w:rFonts w:asciiTheme="minorEastAsia" w:eastAsiaTheme="minorEastAsia" w:hAnsiTheme="minorEastAsia" w:hint="eastAsia"/>
          <w:sz w:val="24"/>
          <w:szCs w:val="24"/>
        </w:rPr>
        <w:t>并根据取料过程还</w:t>
      </w:r>
      <w:proofErr w:type="gramStart"/>
      <w:r w:rsidR="00A2386C">
        <w:rPr>
          <w:rFonts w:asciiTheme="minorEastAsia" w:eastAsiaTheme="minorEastAsia" w:hAnsiTheme="minorEastAsia" w:hint="eastAsia"/>
          <w:sz w:val="24"/>
          <w:szCs w:val="24"/>
        </w:rPr>
        <w:t>让特点</w:t>
      </w:r>
      <w:proofErr w:type="gramEnd"/>
      <w:r w:rsidR="00A2386C">
        <w:rPr>
          <w:rFonts w:asciiTheme="minorEastAsia" w:eastAsiaTheme="minorEastAsia" w:hAnsiTheme="minorEastAsia" w:hint="eastAsia"/>
          <w:sz w:val="24"/>
          <w:szCs w:val="24"/>
        </w:rPr>
        <w:t>给出定义</w:t>
      </w:r>
      <w:r>
        <w:rPr>
          <w:rFonts w:asciiTheme="minorEastAsia" w:eastAsiaTheme="minorEastAsia" w:hAnsiTheme="minorEastAsia" w:hint="eastAsia"/>
          <w:sz w:val="24"/>
          <w:szCs w:val="24"/>
        </w:rPr>
        <w:t>。</w:t>
      </w:r>
    </w:p>
    <w:p w14:paraId="33432106" w14:textId="77777777" w:rsidR="009220F6" w:rsidRDefault="00000000">
      <w:pPr>
        <w:spacing w:beforeLines="50" w:before="156" w:line="360" w:lineRule="auto"/>
        <w:ind w:firstLineChars="200" w:firstLine="482"/>
        <w:rPr>
          <w:rFonts w:asciiTheme="minorEastAsia" w:eastAsiaTheme="minorEastAsia" w:hAnsiTheme="minorEastAsia" w:hint="eastAsia"/>
          <w:b/>
          <w:sz w:val="24"/>
          <w:szCs w:val="24"/>
        </w:rPr>
      </w:pPr>
      <w:r>
        <w:rPr>
          <w:rFonts w:asciiTheme="minorEastAsia" w:eastAsiaTheme="minorEastAsia" w:hAnsiTheme="minorEastAsia"/>
          <w:b/>
          <w:sz w:val="24"/>
          <w:szCs w:val="24"/>
        </w:rPr>
        <w:t>4</w:t>
      </w:r>
      <w:r>
        <w:rPr>
          <w:rFonts w:asciiTheme="minorEastAsia" w:eastAsiaTheme="minorEastAsia" w:hAnsiTheme="minorEastAsia" w:hint="eastAsia"/>
          <w:b/>
          <w:sz w:val="24"/>
          <w:szCs w:val="24"/>
        </w:rPr>
        <w:t xml:space="preserve">.第4章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系统构成与配置</w:t>
      </w:r>
    </w:p>
    <w:p w14:paraId="20D0A529" w14:textId="77777777" w:rsidR="009220F6" w:rsidRDefault="00000000">
      <w:pPr>
        <w:spacing w:beforeLines="50" w:before="156" w:line="360" w:lineRule="auto"/>
        <w:ind w:firstLine="42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该章主要规定了卸船机自动化系统的构成与配置。</w:t>
      </w:r>
    </w:p>
    <w:p w14:paraId="64DDFA2C" w14:textId="4A88D909" w:rsidR="009220F6" w:rsidRDefault="00000000">
      <w:pPr>
        <w:spacing w:beforeLines="50" w:before="156" w:line="360" w:lineRule="auto"/>
        <w:ind w:firstLine="42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依据：</w:t>
      </w:r>
      <w:r w:rsidR="000E76F8">
        <w:rPr>
          <w:rFonts w:asciiTheme="minorEastAsia" w:eastAsiaTheme="minorEastAsia" w:hAnsiTheme="minorEastAsia" w:hint="eastAsia"/>
          <w:sz w:val="24"/>
          <w:szCs w:val="24"/>
        </w:rPr>
        <w:t>通过</w:t>
      </w:r>
      <w:r w:rsidR="00A2386C">
        <w:rPr>
          <w:rFonts w:asciiTheme="minorEastAsia" w:eastAsiaTheme="minorEastAsia" w:hAnsiTheme="minorEastAsia" w:hint="eastAsia"/>
          <w:sz w:val="24"/>
          <w:szCs w:val="24"/>
        </w:rPr>
        <w:t>对</w:t>
      </w:r>
      <w:r w:rsidR="000E76F8">
        <w:rPr>
          <w:rFonts w:asciiTheme="minorEastAsia" w:eastAsiaTheme="minorEastAsia" w:hAnsiTheme="minorEastAsia" w:hint="eastAsia"/>
          <w:sz w:val="24"/>
          <w:szCs w:val="24"/>
        </w:rPr>
        <w:t>国内日照</w:t>
      </w:r>
      <w:r w:rsidR="00A2386C">
        <w:rPr>
          <w:rFonts w:asciiTheme="minorEastAsia" w:eastAsiaTheme="minorEastAsia" w:hAnsiTheme="minorEastAsia" w:hint="eastAsia"/>
          <w:sz w:val="24"/>
          <w:szCs w:val="24"/>
        </w:rPr>
        <w:t>港</w:t>
      </w:r>
      <w:r w:rsidR="000E76F8">
        <w:rPr>
          <w:rFonts w:asciiTheme="minorEastAsia" w:eastAsiaTheme="minorEastAsia" w:hAnsiTheme="minorEastAsia" w:hint="eastAsia"/>
          <w:sz w:val="24"/>
          <w:szCs w:val="24"/>
        </w:rPr>
        <w:t>、宁波舟山港、河北港等干散货码头卸船机自动化系统情况的调研，系统梳理了卸船机自动化系统的主要构成与配置情况，给出</w:t>
      </w:r>
      <w:r>
        <w:rPr>
          <w:rFonts w:asciiTheme="minorEastAsia" w:eastAsiaTheme="minorEastAsia" w:hAnsiTheme="minorEastAsia" w:hint="eastAsia"/>
          <w:sz w:val="24"/>
          <w:szCs w:val="24"/>
        </w:rPr>
        <w:t>了卸船机自动化系统由感知、定位、控制（自动和远控）、操控台、和安全防护等构成，</w:t>
      </w:r>
      <w:r w:rsidR="000E76F8">
        <w:rPr>
          <w:rFonts w:asciiTheme="minorEastAsia" w:eastAsiaTheme="minorEastAsia" w:hAnsiTheme="minorEastAsia" w:hint="eastAsia"/>
          <w:sz w:val="24"/>
          <w:szCs w:val="24"/>
        </w:rPr>
        <w:t>并明确了各构成部分功能配置和配置要求</w:t>
      </w:r>
      <w:r>
        <w:rPr>
          <w:rFonts w:asciiTheme="minorEastAsia" w:eastAsiaTheme="minorEastAsia" w:hAnsiTheme="minorEastAsia" w:hint="eastAsia"/>
          <w:sz w:val="24"/>
          <w:szCs w:val="24"/>
        </w:rPr>
        <w:t>。</w:t>
      </w:r>
    </w:p>
    <w:p w14:paraId="32D34F97" w14:textId="77777777" w:rsidR="009220F6" w:rsidRDefault="00000000">
      <w:pPr>
        <w:tabs>
          <w:tab w:val="left" w:pos="312"/>
        </w:tabs>
        <w:spacing w:beforeLines="50" w:before="156" w:line="360" w:lineRule="auto"/>
        <w:ind w:firstLineChars="200" w:firstLine="482"/>
        <w:jc w:val="left"/>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 xml:space="preserve">5.第5章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一般要求</w:t>
      </w:r>
    </w:p>
    <w:p w14:paraId="1C6468AE" w14:textId="009AFE87" w:rsidR="009220F6" w:rsidRDefault="00000000">
      <w:pPr>
        <w:spacing w:beforeLines="50" w:before="156" w:line="360" w:lineRule="auto"/>
        <w:ind w:firstLineChars="200" w:firstLine="480"/>
        <w:rPr>
          <w:rFonts w:ascii="宋体" w:hAnsi="宋体" w:cs="宋体" w:hint="eastAsia"/>
          <w:sz w:val="24"/>
          <w:szCs w:val="24"/>
        </w:rPr>
      </w:pPr>
      <w:r>
        <w:rPr>
          <w:rFonts w:ascii="宋体" w:hAnsi="宋体" w:cs="宋体"/>
          <w:sz w:val="24"/>
          <w:szCs w:val="24"/>
        </w:rPr>
        <w:t>该章主要</w:t>
      </w:r>
      <w:r w:rsidR="000E76F8">
        <w:rPr>
          <w:rFonts w:ascii="宋体" w:hAnsi="宋体" w:cs="宋体" w:hint="eastAsia"/>
          <w:sz w:val="24"/>
          <w:szCs w:val="24"/>
        </w:rPr>
        <w:t>给出</w:t>
      </w:r>
      <w:r>
        <w:rPr>
          <w:rFonts w:ascii="宋体" w:hAnsi="宋体" w:cs="宋体"/>
          <w:sz w:val="24"/>
          <w:szCs w:val="24"/>
        </w:rPr>
        <w:t>了卸船机自动化系统在环境适应性、电源与供电方式、作业能力、控制响应时间、视频设备性能以及系统安全与防护等方面的通用技术要求。</w:t>
      </w:r>
    </w:p>
    <w:p w14:paraId="4BD91ED1" w14:textId="5F257C33"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宋体" w:hAnsi="宋体" w:cs="宋体"/>
          <w:sz w:val="24"/>
          <w:szCs w:val="24"/>
        </w:rPr>
        <w:t>依据：本章内容依据 GB/T 26475《桥式抓斗卸船机》、GB/T 18224《桥式抓斗卸船机安全规程》等相关标准，结合卸船机自动化系统实际运行需求，</w:t>
      </w:r>
      <w:r w:rsidR="000E76F8">
        <w:rPr>
          <w:rFonts w:ascii="宋体" w:hAnsi="宋体" w:cs="宋体" w:hint="eastAsia"/>
          <w:sz w:val="24"/>
          <w:szCs w:val="24"/>
        </w:rPr>
        <w:t>并</w:t>
      </w:r>
      <w:r>
        <w:rPr>
          <w:rFonts w:asciiTheme="minorEastAsia" w:eastAsiaTheme="minorEastAsia" w:hAnsiTheme="minorEastAsia" w:hint="eastAsia"/>
          <w:sz w:val="24"/>
          <w:szCs w:val="24"/>
        </w:rPr>
        <w:t>根据各港口运营经验</w:t>
      </w:r>
      <w:r w:rsidR="000E76F8">
        <w:rPr>
          <w:rFonts w:asciiTheme="minorEastAsia" w:eastAsiaTheme="minorEastAsia" w:hAnsiTheme="minorEastAsia" w:hint="eastAsia"/>
          <w:sz w:val="24"/>
          <w:szCs w:val="24"/>
        </w:rPr>
        <w:t>结果进行</w:t>
      </w:r>
      <w:r>
        <w:rPr>
          <w:rFonts w:asciiTheme="minorEastAsia" w:eastAsiaTheme="minorEastAsia" w:hAnsiTheme="minorEastAsia" w:hint="eastAsia"/>
          <w:sz w:val="24"/>
          <w:szCs w:val="24"/>
        </w:rPr>
        <w:t>制定，</w:t>
      </w:r>
      <w:r>
        <w:rPr>
          <w:rFonts w:ascii="宋体" w:hAnsi="宋体" w:cs="宋体"/>
          <w:sz w:val="24"/>
          <w:szCs w:val="24"/>
        </w:rPr>
        <w:t>对</w:t>
      </w:r>
      <w:r>
        <w:rPr>
          <w:rFonts w:ascii="宋体" w:hAnsi="宋体" w:cs="宋体" w:hint="eastAsia"/>
          <w:sz w:val="24"/>
          <w:szCs w:val="24"/>
        </w:rPr>
        <w:t>卸船机自动化</w:t>
      </w:r>
      <w:r>
        <w:rPr>
          <w:rFonts w:ascii="宋体" w:hAnsi="宋体" w:cs="宋体"/>
          <w:sz w:val="24"/>
          <w:szCs w:val="24"/>
        </w:rPr>
        <w:t>系统整体性能和运行可靠性</w:t>
      </w:r>
      <w:r w:rsidR="000E76F8">
        <w:rPr>
          <w:rFonts w:ascii="宋体" w:hAnsi="宋体" w:cs="宋体" w:hint="eastAsia"/>
          <w:sz w:val="24"/>
          <w:szCs w:val="24"/>
        </w:rPr>
        <w:t>等方面</w:t>
      </w:r>
      <w:r>
        <w:rPr>
          <w:rFonts w:ascii="宋体" w:hAnsi="宋体" w:cs="宋体"/>
          <w:sz w:val="24"/>
          <w:szCs w:val="24"/>
        </w:rPr>
        <w:t>提出</w:t>
      </w:r>
      <w:r w:rsidR="000E76F8">
        <w:rPr>
          <w:rFonts w:ascii="宋体" w:hAnsi="宋体" w:cs="宋体" w:hint="eastAsia"/>
          <w:sz w:val="24"/>
          <w:szCs w:val="24"/>
        </w:rPr>
        <w:t>了</w:t>
      </w:r>
      <w:r>
        <w:rPr>
          <w:rFonts w:ascii="宋体" w:hAnsi="宋体" w:cs="宋体"/>
          <w:sz w:val="24"/>
          <w:szCs w:val="24"/>
        </w:rPr>
        <w:t>统一要求，确保系统在港口复杂作业环境下的安全性、稳定性和适用性。</w:t>
      </w:r>
    </w:p>
    <w:p w14:paraId="05EF1419" w14:textId="77777777" w:rsidR="009220F6" w:rsidRDefault="00000000">
      <w:pPr>
        <w:spacing w:beforeLines="50" w:before="156" w:line="360" w:lineRule="auto"/>
        <w:ind w:firstLine="420"/>
        <w:rPr>
          <w:rFonts w:asciiTheme="minorEastAsia" w:eastAsiaTheme="minorEastAsia" w:hAnsiTheme="minorEastAsia" w:hint="eastAsia"/>
          <w:b/>
          <w:sz w:val="24"/>
          <w:szCs w:val="24"/>
        </w:rPr>
      </w:pPr>
      <w:r>
        <w:rPr>
          <w:rFonts w:asciiTheme="minorEastAsia" w:eastAsiaTheme="minorEastAsia" w:hAnsiTheme="minorEastAsia"/>
          <w:b/>
          <w:sz w:val="24"/>
          <w:szCs w:val="24"/>
        </w:rPr>
        <w:t>6</w:t>
      </w:r>
      <w:r>
        <w:rPr>
          <w:rFonts w:asciiTheme="minorEastAsia" w:eastAsiaTheme="minorEastAsia" w:hAnsiTheme="minorEastAsia" w:hint="eastAsia"/>
          <w:b/>
          <w:sz w:val="24"/>
          <w:szCs w:val="24"/>
        </w:rPr>
        <w:t xml:space="preserve">.第6章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感知</w:t>
      </w:r>
    </w:p>
    <w:p w14:paraId="4652B6DF" w14:textId="77777777" w:rsidR="009220F6" w:rsidRDefault="00000000">
      <w:pPr>
        <w:spacing w:beforeLines="50" w:before="156" w:line="360" w:lineRule="auto"/>
        <w:ind w:firstLineChars="200" w:firstLine="480"/>
        <w:rPr>
          <w:rFonts w:ascii="宋体" w:hAnsi="宋体" w:cs="宋体" w:hint="eastAsia"/>
          <w:sz w:val="24"/>
          <w:szCs w:val="24"/>
        </w:rPr>
      </w:pPr>
      <w:r>
        <w:rPr>
          <w:rFonts w:ascii="宋体" w:hAnsi="宋体" w:cs="宋体"/>
          <w:sz w:val="24"/>
          <w:szCs w:val="24"/>
        </w:rPr>
        <w:lastRenderedPageBreak/>
        <w:t>该章主要规定卸船机自动化系统中感知子系统的组成、功能及技术性能要求，包括船舱舱口、物料轮廓和船舶平衡状态等信息的采集与处理要求。</w:t>
      </w:r>
    </w:p>
    <w:p w14:paraId="697972B8" w14:textId="43DCED5B" w:rsidR="009220F6" w:rsidRDefault="00000000">
      <w:pPr>
        <w:spacing w:beforeLines="50" w:before="156" w:line="360" w:lineRule="auto"/>
        <w:ind w:firstLineChars="200" w:firstLine="480"/>
        <w:rPr>
          <w:rFonts w:asciiTheme="minorEastAsia" w:eastAsiaTheme="minorEastAsia" w:hAnsiTheme="minorEastAsia" w:hint="eastAsia"/>
          <w:sz w:val="24"/>
          <w:szCs w:val="24"/>
        </w:rPr>
      </w:pPr>
      <w:r>
        <w:rPr>
          <w:rFonts w:ascii="宋体" w:hAnsi="宋体" w:cs="宋体"/>
          <w:sz w:val="24"/>
          <w:szCs w:val="24"/>
        </w:rPr>
        <w:t>依据：本章</w:t>
      </w:r>
      <w:r>
        <w:rPr>
          <w:rFonts w:ascii="宋体" w:hAnsi="宋体" w:cs="宋体" w:hint="eastAsia"/>
          <w:sz w:val="24"/>
          <w:szCs w:val="24"/>
        </w:rPr>
        <w:t>充分考虑了</w:t>
      </w:r>
      <w:r>
        <w:rPr>
          <w:rFonts w:ascii="宋体" w:hAnsi="宋体" w:cs="宋体"/>
          <w:sz w:val="24"/>
          <w:szCs w:val="24"/>
        </w:rPr>
        <w:t>卸船作业对环境感知精度和实时性的要求，结合三维激光扫描、点</w:t>
      </w:r>
      <w:proofErr w:type="gramStart"/>
      <w:r>
        <w:rPr>
          <w:rFonts w:ascii="宋体" w:hAnsi="宋体" w:cs="宋体"/>
          <w:sz w:val="24"/>
          <w:szCs w:val="24"/>
        </w:rPr>
        <w:t>云处理</w:t>
      </w:r>
      <w:proofErr w:type="gramEnd"/>
      <w:r>
        <w:rPr>
          <w:rFonts w:ascii="宋体" w:hAnsi="宋体" w:cs="宋体"/>
          <w:sz w:val="24"/>
          <w:szCs w:val="24"/>
        </w:rPr>
        <w:t>及姿态识别等技术</w:t>
      </w:r>
      <w:r w:rsidR="000E76F8">
        <w:rPr>
          <w:rFonts w:ascii="宋体" w:hAnsi="宋体" w:cs="宋体" w:hint="eastAsia"/>
          <w:sz w:val="24"/>
          <w:szCs w:val="24"/>
        </w:rPr>
        <w:t>指标</w:t>
      </w:r>
      <w:r>
        <w:rPr>
          <w:rFonts w:ascii="宋体" w:hAnsi="宋体" w:cs="宋体"/>
          <w:sz w:val="24"/>
          <w:szCs w:val="24"/>
        </w:rPr>
        <w:t>，</w:t>
      </w:r>
      <w:r w:rsidR="000E76F8">
        <w:rPr>
          <w:rFonts w:ascii="宋体" w:hAnsi="宋体" w:cs="宋体" w:hint="eastAsia"/>
          <w:sz w:val="24"/>
          <w:szCs w:val="24"/>
        </w:rPr>
        <w:t>以及我国</w:t>
      </w:r>
      <w:r>
        <w:rPr>
          <w:rFonts w:ascii="宋体" w:hAnsi="宋体" w:cs="宋体" w:hint="eastAsia"/>
          <w:sz w:val="24"/>
          <w:szCs w:val="24"/>
        </w:rPr>
        <w:t>港口</w:t>
      </w:r>
      <w:r w:rsidR="000E76F8">
        <w:rPr>
          <w:rFonts w:ascii="宋体" w:hAnsi="宋体" w:cs="宋体" w:hint="eastAsia"/>
          <w:sz w:val="24"/>
          <w:szCs w:val="24"/>
        </w:rPr>
        <w:t>自动化</w:t>
      </w:r>
      <w:r>
        <w:rPr>
          <w:rFonts w:ascii="宋体" w:hAnsi="宋体" w:cs="宋体" w:hint="eastAsia"/>
          <w:sz w:val="24"/>
          <w:szCs w:val="24"/>
        </w:rPr>
        <w:t>卸船机</w:t>
      </w:r>
      <w:r w:rsidR="000E76F8">
        <w:rPr>
          <w:rFonts w:ascii="宋体" w:hAnsi="宋体" w:cs="宋体" w:hint="eastAsia"/>
          <w:sz w:val="24"/>
          <w:szCs w:val="24"/>
        </w:rPr>
        <w:t>远程操控员的</w:t>
      </w:r>
      <w:r w:rsidR="00C56D82">
        <w:rPr>
          <w:rFonts w:ascii="宋体" w:hAnsi="宋体" w:cs="宋体" w:hint="eastAsia"/>
          <w:sz w:val="24"/>
          <w:szCs w:val="24"/>
        </w:rPr>
        <w:t>应用</w:t>
      </w:r>
      <w:r>
        <w:rPr>
          <w:rFonts w:ascii="宋体" w:hAnsi="宋体" w:cs="宋体" w:hint="eastAsia"/>
          <w:sz w:val="24"/>
          <w:szCs w:val="24"/>
        </w:rPr>
        <w:t>需求</w:t>
      </w:r>
      <w:r w:rsidR="00C56D82">
        <w:rPr>
          <w:rFonts w:ascii="宋体" w:hAnsi="宋体" w:cs="宋体" w:hint="eastAsia"/>
          <w:sz w:val="24"/>
          <w:szCs w:val="24"/>
        </w:rPr>
        <w:t>和实际情况</w:t>
      </w:r>
      <w:r>
        <w:rPr>
          <w:rFonts w:ascii="宋体" w:hAnsi="宋体" w:cs="宋体" w:hint="eastAsia"/>
          <w:sz w:val="24"/>
          <w:szCs w:val="24"/>
        </w:rPr>
        <w:t>，</w:t>
      </w:r>
      <w:r>
        <w:rPr>
          <w:rFonts w:ascii="宋体" w:hAnsi="宋体" w:cs="宋体"/>
          <w:sz w:val="24"/>
          <w:szCs w:val="24"/>
        </w:rPr>
        <w:t>明确了感知设备的性能指标和数据处理要求，为自动控制与作业决策提供可靠数据基础。</w:t>
      </w:r>
    </w:p>
    <w:p w14:paraId="3200968F" w14:textId="77777777" w:rsidR="009220F6" w:rsidRDefault="00000000">
      <w:pPr>
        <w:spacing w:beforeLines="50" w:before="156" w:line="360" w:lineRule="auto"/>
        <w:ind w:firstLine="420"/>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 xml:space="preserve">7.第7章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定位</w:t>
      </w:r>
    </w:p>
    <w:p w14:paraId="1334BA22" w14:textId="77777777" w:rsidR="009220F6" w:rsidRDefault="00000000">
      <w:pPr>
        <w:spacing w:beforeLines="50" w:before="156" w:line="360" w:lineRule="auto"/>
        <w:ind w:firstLineChars="200" w:firstLine="480"/>
        <w:outlineLvl w:val="0"/>
        <w:rPr>
          <w:rFonts w:ascii="宋体" w:hAnsi="宋体" w:cs="宋体" w:hint="eastAsia"/>
          <w:sz w:val="24"/>
          <w:szCs w:val="24"/>
        </w:rPr>
      </w:pPr>
      <w:bookmarkStart w:id="14" w:name="_Toc46098152"/>
      <w:r>
        <w:rPr>
          <w:rFonts w:ascii="宋体" w:hAnsi="宋体" w:cs="宋体"/>
          <w:sz w:val="24"/>
          <w:szCs w:val="24"/>
        </w:rPr>
        <w:t>该章主要规定了卸船机自动化系统中大车机构、小车机构和起</w:t>
      </w:r>
      <w:proofErr w:type="gramStart"/>
      <w:r>
        <w:rPr>
          <w:rFonts w:ascii="宋体" w:hAnsi="宋体" w:cs="宋体"/>
          <w:sz w:val="24"/>
          <w:szCs w:val="24"/>
        </w:rPr>
        <w:t>升机构</w:t>
      </w:r>
      <w:proofErr w:type="gramEnd"/>
      <w:r>
        <w:rPr>
          <w:rFonts w:ascii="宋体" w:hAnsi="宋体" w:cs="宋体"/>
          <w:sz w:val="24"/>
          <w:szCs w:val="24"/>
        </w:rPr>
        <w:t>等关键部位的定位方式、设备配置及定位精度要求。</w:t>
      </w:r>
    </w:p>
    <w:p w14:paraId="2136C186" w14:textId="3FFF739D" w:rsidR="009220F6" w:rsidRDefault="00000000">
      <w:pPr>
        <w:spacing w:beforeLines="50" w:before="156" w:line="360" w:lineRule="auto"/>
        <w:ind w:firstLineChars="200" w:firstLine="480"/>
        <w:outlineLvl w:val="0"/>
        <w:rPr>
          <w:rFonts w:ascii="宋体" w:hAnsi="宋体" w:cs="宋体" w:hint="eastAsia"/>
          <w:sz w:val="24"/>
          <w:szCs w:val="24"/>
        </w:rPr>
      </w:pPr>
      <w:r>
        <w:rPr>
          <w:rFonts w:ascii="宋体" w:hAnsi="宋体" w:cs="宋体"/>
          <w:sz w:val="24"/>
          <w:szCs w:val="24"/>
        </w:rPr>
        <w:t>依据：本章依据卸船</w:t>
      </w:r>
      <w:proofErr w:type="gramStart"/>
      <w:r>
        <w:rPr>
          <w:rFonts w:ascii="宋体" w:hAnsi="宋体" w:cs="宋体"/>
          <w:sz w:val="24"/>
          <w:szCs w:val="24"/>
        </w:rPr>
        <w:t>机机构</w:t>
      </w:r>
      <w:proofErr w:type="gramEnd"/>
      <w:r>
        <w:rPr>
          <w:rFonts w:ascii="宋体" w:hAnsi="宋体" w:cs="宋体"/>
          <w:sz w:val="24"/>
          <w:szCs w:val="24"/>
        </w:rPr>
        <w:t>运动特点和自动化作业精度要求，结合编码器、激光测距</w:t>
      </w:r>
      <w:r w:rsidR="00C56D82">
        <w:rPr>
          <w:rFonts w:ascii="宋体" w:hAnsi="宋体" w:cs="宋体" w:hint="eastAsia"/>
          <w:sz w:val="24"/>
          <w:szCs w:val="24"/>
        </w:rPr>
        <w:t>、</w:t>
      </w:r>
      <w:r>
        <w:rPr>
          <w:rFonts w:ascii="宋体" w:hAnsi="宋体" w:cs="宋体"/>
          <w:sz w:val="24"/>
          <w:szCs w:val="24"/>
        </w:rPr>
        <w:t xml:space="preserve"> GPS 等定位技术</w:t>
      </w:r>
      <w:r w:rsidR="00C56D82">
        <w:rPr>
          <w:rFonts w:ascii="宋体" w:hAnsi="宋体" w:cs="宋体" w:hint="eastAsia"/>
          <w:sz w:val="24"/>
          <w:szCs w:val="24"/>
        </w:rPr>
        <w:t>和实际应用情况</w:t>
      </w:r>
      <w:r>
        <w:rPr>
          <w:rFonts w:ascii="宋体" w:hAnsi="宋体" w:cs="宋体"/>
          <w:sz w:val="24"/>
          <w:szCs w:val="24"/>
        </w:rPr>
        <w:t>，提出统一的定位配置和性能指标，以保障</w:t>
      </w:r>
      <w:r>
        <w:rPr>
          <w:rFonts w:ascii="宋体" w:hAnsi="宋体" w:cs="宋体" w:hint="eastAsia"/>
          <w:sz w:val="24"/>
          <w:szCs w:val="24"/>
        </w:rPr>
        <w:t>卸船机自动化系统各机构</w:t>
      </w:r>
      <w:r>
        <w:rPr>
          <w:rFonts w:ascii="宋体" w:hAnsi="宋体" w:cs="宋体"/>
          <w:sz w:val="24"/>
          <w:szCs w:val="24"/>
        </w:rPr>
        <w:t>位置精确性和系统运行安全。</w:t>
      </w:r>
    </w:p>
    <w:p w14:paraId="73BD7E28" w14:textId="77777777" w:rsidR="009220F6" w:rsidRDefault="00000000">
      <w:pPr>
        <w:spacing w:beforeLines="50" w:before="156" w:line="360" w:lineRule="auto"/>
        <w:ind w:firstLine="420"/>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 xml:space="preserve">8.第8章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控制</w:t>
      </w:r>
    </w:p>
    <w:p w14:paraId="0513790D" w14:textId="0826241E" w:rsidR="009220F6" w:rsidRDefault="00000000">
      <w:pPr>
        <w:spacing w:beforeLines="50" w:before="156" w:line="360" w:lineRule="auto"/>
        <w:ind w:firstLineChars="200" w:firstLine="480"/>
        <w:outlineLvl w:val="0"/>
        <w:rPr>
          <w:rFonts w:ascii="宋体" w:hAnsi="宋体" w:cs="宋体" w:hint="eastAsia"/>
          <w:sz w:val="24"/>
          <w:szCs w:val="24"/>
        </w:rPr>
      </w:pPr>
      <w:r>
        <w:rPr>
          <w:rFonts w:ascii="宋体" w:hAnsi="宋体" w:cs="宋体"/>
          <w:sz w:val="24"/>
          <w:szCs w:val="24"/>
        </w:rPr>
        <w:t>该章主要规定了卸船机自动化系统的控制模式、控制功能以及控制指令生成、下达和执行等技术要求，包括自动控制模式和远程控制模式的功能划分与切换条件。</w:t>
      </w:r>
    </w:p>
    <w:p w14:paraId="2519483B" w14:textId="6894E246" w:rsidR="009220F6" w:rsidRDefault="00000000">
      <w:pPr>
        <w:spacing w:beforeLines="50" w:before="156" w:line="360" w:lineRule="auto"/>
        <w:ind w:firstLineChars="200" w:firstLine="480"/>
        <w:outlineLvl w:val="0"/>
        <w:rPr>
          <w:rFonts w:asciiTheme="minorEastAsia" w:eastAsiaTheme="minorEastAsia" w:hAnsiTheme="minorEastAsia" w:hint="eastAsia"/>
          <w:b/>
          <w:sz w:val="24"/>
          <w:szCs w:val="24"/>
        </w:rPr>
      </w:pPr>
      <w:r>
        <w:rPr>
          <w:rFonts w:ascii="宋体" w:hAnsi="宋体" w:cs="宋体"/>
          <w:sz w:val="24"/>
          <w:szCs w:val="24"/>
        </w:rPr>
        <w:t>依据：本章依据卸船机自动化作业流程及安全控制需求，结合数据融合、路径优化</w:t>
      </w:r>
      <w:r w:rsidR="00C56D82">
        <w:rPr>
          <w:rFonts w:ascii="宋体" w:hAnsi="宋体" w:cs="宋体" w:hint="eastAsia"/>
          <w:sz w:val="24"/>
          <w:szCs w:val="24"/>
        </w:rPr>
        <w:t>、</w:t>
      </w:r>
      <w:r>
        <w:rPr>
          <w:rFonts w:ascii="宋体" w:hAnsi="宋体" w:cs="宋体"/>
          <w:sz w:val="24"/>
          <w:szCs w:val="24"/>
        </w:rPr>
        <w:t>机构联动控制等技术</w:t>
      </w:r>
      <w:r w:rsidR="00C56D82" w:rsidRPr="00C56D82">
        <w:rPr>
          <w:rFonts w:ascii="宋体" w:hAnsi="宋体" w:cs="宋体" w:hint="eastAsia"/>
          <w:sz w:val="24"/>
          <w:szCs w:val="24"/>
        </w:rPr>
        <w:t>和实际应用情况</w:t>
      </w:r>
      <w:r>
        <w:rPr>
          <w:rFonts w:ascii="宋体" w:hAnsi="宋体" w:cs="宋体"/>
          <w:sz w:val="24"/>
          <w:szCs w:val="24"/>
        </w:rPr>
        <w:t>，明确控制系统的功能构成和接口要求，确保系统在不同工况下能够安全、高效地运行。</w:t>
      </w:r>
    </w:p>
    <w:p w14:paraId="1DA52F2A" w14:textId="77777777" w:rsidR="009220F6" w:rsidRDefault="00000000">
      <w:pPr>
        <w:spacing w:beforeLines="50" w:before="156" w:line="360" w:lineRule="auto"/>
        <w:ind w:firstLine="420"/>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 xml:space="preserve">9.第9章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操控台</w:t>
      </w:r>
    </w:p>
    <w:p w14:paraId="2B7DD8EF" w14:textId="77777777" w:rsidR="009220F6" w:rsidRDefault="00000000">
      <w:pPr>
        <w:spacing w:beforeLines="50" w:before="156" w:line="360" w:lineRule="auto"/>
        <w:ind w:firstLineChars="200" w:firstLine="480"/>
        <w:rPr>
          <w:rFonts w:ascii="宋体" w:hAnsi="宋体" w:cs="宋体" w:hint="eastAsia"/>
          <w:sz w:val="24"/>
          <w:szCs w:val="24"/>
        </w:rPr>
      </w:pPr>
      <w:r>
        <w:rPr>
          <w:rFonts w:ascii="宋体" w:hAnsi="宋体" w:cs="宋体"/>
          <w:sz w:val="24"/>
          <w:szCs w:val="24"/>
        </w:rPr>
        <w:t>该章主要规定了卸船机自动化系统操控台的组成、功能配置及人机交互要求，包括视频监控、人机界面、指令交互、可编程控制器和数据统计分析等内容。</w:t>
      </w:r>
    </w:p>
    <w:p w14:paraId="13F5D842" w14:textId="539DF607" w:rsidR="009220F6" w:rsidRDefault="00000000">
      <w:pPr>
        <w:spacing w:beforeLines="50" w:before="156" w:line="360" w:lineRule="auto"/>
        <w:ind w:firstLineChars="200" w:firstLine="480"/>
        <w:rPr>
          <w:rFonts w:asciiTheme="minorEastAsia" w:eastAsiaTheme="minorEastAsia" w:hAnsiTheme="minorEastAsia" w:hint="eastAsia"/>
          <w:b/>
          <w:sz w:val="24"/>
          <w:szCs w:val="24"/>
        </w:rPr>
      </w:pPr>
      <w:r>
        <w:rPr>
          <w:rFonts w:ascii="宋体" w:hAnsi="宋体" w:cs="宋体"/>
          <w:sz w:val="24"/>
          <w:szCs w:val="24"/>
        </w:rPr>
        <w:t>依据：本章依据</w:t>
      </w:r>
      <w:r>
        <w:rPr>
          <w:rFonts w:ascii="宋体" w:hAnsi="宋体" w:cs="宋体" w:hint="eastAsia"/>
          <w:sz w:val="24"/>
          <w:szCs w:val="24"/>
        </w:rPr>
        <w:t>《港口装卸机械电气安全规程》（</w:t>
      </w:r>
      <w:r>
        <w:rPr>
          <w:rFonts w:asciiTheme="minorEastAsia" w:eastAsiaTheme="minorEastAsia" w:hAnsiTheme="minorEastAsia" w:hint="eastAsia"/>
          <w:sz w:val="24"/>
          <w:szCs w:val="24"/>
        </w:rPr>
        <w:t>JT/T 622</w:t>
      </w:r>
      <w:r>
        <w:rPr>
          <w:rFonts w:ascii="宋体" w:hAnsi="宋体" w:cs="宋体" w:hint="eastAsia"/>
          <w:sz w:val="24"/>
          <w:szCs w:val="24"/>
        </w:rPr>
        <w:t>）中9.7操纵台相关要求</w:t>
      </w:r>
      <w:r>
        <w:rPr>
          <w:rFonts w:ascii="宋体" w:hAnsi="宋体" w:cs="宋体"/>
          <w:sz w:val="24"/>
          <w:szCs w:val="24"/>
        </w:rPr>
        <w:t>，结合卸船机远程操控</w:t>
      </w:r>
      <w:r w:rsidR="00C56D82">
        <w:rPr>
          <w:rFonts w:ascii="宋体" w:hAnsi="宋体" w:cs="宋体" w:hint="eastAsia"/>
          <w:sz w:val="24"/>
          <w:szCs w:val="24"/>
        </w:rPr>
        <w:t>、</w:t>
      </w:r>
      <w:r>
        <w:rPr>
          <w:rFonts w:ascii="宋体" w:hAnsi="宋体" w:cs="宋体"/>
          <w:sz w:val="24"/>
          <w:szCs w:val="24"/>
        </w:rPr>
        <w:t>集中监控的实际需求</w:t>
      </w:r>
      <w:r w:rsidR="00C56D82">
        <w:rPr>
          <w:rFonts w:ascii="宋体" w:hAnsi="宋体" w:cs="宋体" w:hint="eastAsia"/>
          <w:sz w:val="24"/>
          <w:szCs w:val="24"/>
        </w:rPr>
        <w:t>和应用情况</w:t>
      </w:r>
      <w:r>
        <w:rPr>
          <w:rFonts w:ascii="宋体" w:hAnsi="宋体" w:cs="宋体"/>
          <w:sz w:val="24"/>
          <w:szCs w:val="24"/>
        </w:rPr>
        <w:t>，对操控台的功能和界面提出规范性要求，以提升系统操作的安全性、便捷性和可视化水平。</w:t>
      </w:r>
    </w:p>
    <w:p w14:paraId="3B30AF5E" w14:textId="77777777" w:rsidR="009220F6" w:rsidRDefault="00000000">
      <w:pPr>
        <w:spacing w:beforeLines="50" w:before="156" w:line="360" w:lineRule="auto"/>
        <w:ind w:firstLine="420"/>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lastRenderedPageBreak/>
        <w:t xml:space="preserve">10.第10章 </w:t>
      </w:r>
      <w:r>
        <w:rPr>
          <w:rFonts w:asciiTheme="minorEastAsia" w:eastAsiaTheme="minorEastAsia" w:hAnsiTheme="minorEastAsia"/>
          <w:b/>
          <w:sz w:val="24"/>
          <w:szCs w:val="24"/>
        </w:rPr>
        <w:t xml:space="preserve"> </w:t>
      </w:r>
      <w:r>
        <w:rPr>
          <w:rFonts w:asciiTheme="minorEastAsia" w:eastAsiaTheme="minorEastAsia" w:hAnsiTheme="minorEastAsia" w:hint="eastAsia"/>
          <w:b/>
          <w:sz w:val="24"/>
          <w:szCs w:val="24"/>
        </w:rPr>
        <w:t>安全防护</w:t>
      </w:r>
    </w:p>
    <w:p w14:paraId="46837900" w14:textId="77777777" w:rsidR="009220F6" w:rsidRDefault="00000000">
      <w:pPr>
        <w:spacing w:beforeLines="50" w:before="156" w:line="360" w:lineRule="auto"/>
        <w:ind w:firstLineChars="200" w:firstLine="480"/>
        <w:outlineLvl w:val="0"/>
        <w:rPr>
          <w:rFonts w:ascii="宋体" w:hAnsi="宋体" w:cs="宋体" w:hint="eastAsia"/>
          <w:sz w:val="24"/>
          <w:szCs w:val="24"/>
        </w:rPr>
      </w:pPr>
      <w:r>
        <w:rPr>
          <w:rFonts w:ascii="宋体" w:hAnsi="宋体" w:cs="宋体"/>
          <w:sz w:val="24"/>
          <w:szCs w:val="24"/>
        </w:rPr>
        <w:t>该章主要规定了卸船机自动化系统在作业过程中的安全防护功能及技术要求，包括烟雾报警、人员入侵识别、安全作业区域设定、抓斗防摇、机构防撞等内容。</w:t>
      </w:r>
    </w:p>
    <w:p w14:paraId="058EC211" w14:textId="6DF44E6B" w:rsidR="009220F6" w:rsidRDefault="00000000">
      <w:pPr>
        <w:spacing w:beforeLines="50" w:before="156" w:line="360" w:lineRule="auto"/>
        <w:ind w:firstLineChars="200" w:firstLine="480"/>
        <w:outlineLvl w:val="0"/>
        <w:rPr>
          <w:rFonts w:ascii="宋体" w:hAnsi="宋体" w:cs="宋体" w:hint="eastAsia"/>
          <w:sz w:val="24"/>
          <w:szCs w:val="24"/>
        </w:rPr>
      </w:pPr>
      <w:r>
        <w:rPr>
          <w:rFonts w:ascii="宋体" w:hAnsi="宋体" w:cs="宋体"/>
          <w:sz w:val="24"/>
          <w:szCs w:val="24"/>
        </w:rPr>
        <w:t>依据：本章依据卸船机安全生产和风险防控要求，</w:t>
      </w:r>
      <w:r>
        <w:rPr>
          <w:rFonts w:ascii="宋体" w:hAnsi="宋体" w:cs="宋体" w:hint="eastAsia"/>
          <w:sz w:val="24"/>
          <w:szCs w:val="24"/>
        </w:rPr>
        <w:t>充分考虑</w:t>
      </w:r>
      <w:r>
        <w:rPr>
          <w:rFonts w:ascii="宋体" w:hAnsi="宋体" w:cs="宋体"/>
          <w:sz w:val="24"/>
          <w:szCs w:val="24"/>
        </w:rPr>
        <w:t>港口作业环境特点及</w:t>
      </w:r>
      <w:r>
        <w:rPr>
          <w:rFonts w:ascii="宋体" w:hAnsi="宋体" w:cs="宋体" w:hint="eastAsia"/>
          <w:sz w:val="24"/>
          <w:szCs w:val="24"/>
        </w:rPr>
        <w:t>卸船机</w:t>
      </w:r>
      <w:r>
        <w:rPr>
          <w:rFonts w:ascii="宋体" w:hAnsi="宋体" w:cs="宋体"/>
          <w:sz w:val="24"/>
          <w:szCs w:val="24"/>
        </w:rPr>
        <w:t>自动化系统</w:t>
      </w:r>
      <w:r w:rsidR="00C56D82">
        <w:rPr>
          <w:rFonts w:ascii="宋体" w:hAnsi="宋体" w:cs="宋体" w:hint="eastAsia"/>
          <w:sz w:val="24"/>
          <w:szCs w:val="24"/>
        </w:rPr>
        <w:t>实际</w:t>
      </w:r>
      <w:r>
        <w:rPr>
          <w:rFonts w:ascii="宋体" w:hAnsi="宋体" w:cs="宋体"/>
          <w:sz w:val="24"/>
          <w:szCs w:val="24"/>
        </w:rPr>
        <w:t>运行经验，对安全防护功能配置和性能指标进行规范，以降低作业风险，保障人员、设备和系统运行安全。</w:t>
      </w:r>
    </w:p>
    <w:p w14:paraId="25E8F01A" w14:textId="77777777" w:rsidR="009220F6" w:rsidRDefault="00000000">
      <w:pPr>
        <w:spacing w:beforeLines="50" w:before="156" w:line="360" w:lineRule="auto"/>
        <w:outlineLvl w:val="0"/>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三、主</w:t>
      </w:r>
      <w:r>
        <w:rPr>
          <w:rFonts w:asciiTheme="minorEastAsia" w:eastAsiaTheme="minorEastAsia" w:hAnsiTheme="minorEastAsia"/>
          <w:b/>
          <w:sz w:val="24"/>
          <w:szCs w:val="24"/>
        </w:rPr>
        <w:t>要试验（或验证）的分析、综述报告，技术经济论证，预期的经济效果</w:t>
      </w:r>
      <w:bookmarkEnd w:id="14"/>
    </w:p>
    <w:p w14:paraId="45108561" w14:textId="77777777" w:rsidR="009220F6" w:rsidRDefault="00000000">
      <w:pPr>
        <w:pStyle w:val="afa"/>
        <w:numPr>
          <w:ilvl w:val="0"/>
          <w:numId w:val="5"/>
        </w:numPr>
        <w:spacing w:beforeLines="50" w:before="156" w:line="360" w:lineRule="auto"/>
        <w:ind w:firstLineChars="0"/>
        <w:rPr>
          <w:rFonts w:ascii="宋体" w:hAnsi="宋体" w:hint="eastAsia"/>
          <w:b/>
          <w:bCs/>
          <w:sz w:val="24"/>
          <w:szCs w:val="24"/>
        </w:rPr>
      </w:pPr>
      <w:r>
        <w:rPr>
          <w:rFonts w:ascii="宋体" w:hAnsi="宋体" w:hint="eastAsia"/>
          <w:b/>
          <w:bCs/>
          <w:sz w:val="24"/>
          <w:szCs w:val="24"/>
        </w:rPr>
        <w:t>主要试验（或验证）分析</w:t>
      </w:r>
    </w:p>
    <w:p w14:paraId="3BDDDCB5" w14:textId="77777777" w:rsidR="009220F6" w:rsidRDefault="00000000">
      <w:pPr>
        <w:adjustRightInd w:val="0"/>
        <w:spacing w:line="360" w:lineRule="auto"/>
        <w:ind w:firstLineChars="200" w:firstLine="480"/>
        <w:textAlignment w:val="baseline"/>
        <w:rPr>
          <w:kern w:val="0"/>
          <w:sz w:val="24"/>
          <w:szCs w:val="24"/>
        </w:rPr>
      </w:pPr>
      <w:r>
        <w:rPr>
          <w:rFonts w:ascii="宋体" w:hAnsi="宋体" w:cs="宋体"/>
          <w:sz w:val="24"/>
          <w:szCs w:val="24"/>
        </w:rPr>
        <w:t>在制定过程中，组织开展了多地实地调研和现场试验检测工作，涉及青岛港国际股份有限公司、烟台港、日照港以及山东朝辉自动化科技有限责任公司等单位。通过不同场景的测试与比对，全面验证了本标准所规定的程序及检测方法。</w:t>
      </w:r>
    </w:p>
    <w:p w14:paraId="2C1E695E" w14:textId="77777777" w:rsidR="009220F6" w:rsidRDefault="00000000">
      <w:pPr>
        <w:adjustRightInd w:val="0"/>
        <w:spacing w:line="360" w:lineRule="auto"/>
        <w:ind w:firstLineChars="200" w:firstLine="480"/>
        <w:textAlignment w:val="baseline"/>
        <w:rPr>
          <w:rFonts w:ascii="宋体" w:hAnsi="宋体" w:cs="宋体" w:hint="eastAsia"/>
          <w:sz w:val="24"/>
          <w:szCs w:val="24"/>
        </w:rPr>
      </w:pPr>
      <w:r>
        <w:rPr>
          <w:rFonts w:ascii="宋体" w:hAnsi="宋体" w:cs="宋体" w:hint="eastAsia"/>
          <w:sz w:val="24"/>
          <w:szCs w:val="24"/>
        </w:rPr>
        <w:t>调研青岛港国际股份有限公司，依托其现役卸船机自动化系统，重点开展了卸船机自动化系统感知模块、定位模块、控制模块、操控台、以及安全防护模块的验证工作。试验结果证明了标准中卸船机自动化系统配置的可行性与完整性，特别是根据卸船机自动化系统摄像机、三维激光扫描仪、雷达等硬件的参数对标准进行了修订和优化。</w:t>
      </w:r>
    </w:p>
    <w:p w14:paraId="569D8499" w14:textId="77777777" w:rsidR="009220F6" w:rsidRDefault="00000000">
      <w:pPr>
        <w:adjustRightInd w:val="0"/>
        <w:spacing w:line="360" w:lineRule="auto"/>
        <w:ind w:firstLineChars="200" w:firstLine="480"/>
        <w:textAlignment w:val="baseline"/>
        <w:rPr>
          <w:rFonts w:ascii="宋体" w:hAnsi="宋体" w:cs="宋体" w:hint="eastAsia"/>
          <w:sz w:val="24"/>
          <w:szCs w:val="24"/>
        </w:rPr>
      </w:pPr>
      <w:r>
        <w:rPr>
          <w:rFonts w:ascii="宋体" w:hAnsi="宋体" w:cs="宋体" w:hint="eastAsia"/>
          <w:sz w:val="24"/>
          <w:szCs w:val="24"/>
        </w:rPr>
        <w:t>调研烟台港，结合港区内卸船机自动化系统的改造情况，重点验证了大车机构定位、小车机构定位、起</w:t>
      </w:r>
      <w:proofErr w:type="gramStart"/>
      <w:r>
        <w:rPr>
          <w:rFonts w:ascii="宋体" w:hAnsi="宋体" w:cs="宋体" w:hint="eastAsia"/>
          <w:sz w:val="24"/>
          <w:szCs w:val="24"/>
        </w:rPr>
        <w:t>升机构</w:t>
      </w:r>
      <w:proofErr w:type="gramEnd"/>
      <w:r>
        <w:rPr>
          <w:rFonts w:ascii="宋体" w:hAnsi="宋体" w:cs="宋体" w:hint="eastAsia"/>
          <w:sz w:val="24"/>
          <w:szCs w:val="24"/>
        </w:rPr>
        <w:t>定位、大车防撞、作业</w:t>
      </w:r>
      <w:proofErr w:type="gramStart"/>
      <w:r>
        <w:rPr>
          <w:rFonts w:ascii="宋体" w:hAnsi="宋体" w:cs="宋体" w:hint="eastAsia"/>
          <w:sz w:val="24"/>
          <w:szCs w:val="24"/>
        </w:rPr>
        <w:t>安全安全</w:t>
      </w:r>
      <w:proofErr w:type="gramEnd"/>
      <w:r>
        <w:rPr>
          <w:rFonts w:ascii="宋体" w:hAnsi="宋体" w:cs="宋体" w:hint="eastAsia"/>
          <w:sz w:val="24"/>
          <w:szCs w:val="24"/>
        </w:rPr>
        <w:t>区域防护等方面的条款。通过防撞安全距离与作业安全区域信息比对，进一步调整了相关参数范围，使标准在满足配置要求的同时兼顾了卸船机自动化系统安全性。</w:t>
      </w:r>
    </w:p>
    <w:p w14:paraId="2348CBEC" w14:textId="77777777" w:rsidR="009220F6" w:rsidRDefault="00000000">
      <w:pPr>
        <w:adjustRightInd w:val="0"/>
        <w:spacing w:line="360" w:lineRule="auto"/>
        <w:ind w:firstLineChars="200" w:firstLine="480"/>
        <w:textAlignment w:val="baseline"/>
        <w:rPr>
          <w:rFonts w:ascii="宋体" w:hAnsi="宋体" w:cs="宋体" w:hint="eastAsia"/>
          <w:sz w:val="24"/>
          <w:szCs w:val="24"/>
        </w:rPr>
      </w:pPr>
      <w:r>
        <w:rPr>
          <w:rFonts w:ascii="宋体" w:hAnsi="宋体" w:cs="宋体" w:hint="eastAsia"/>
          <w:sz w:val="24"/>
          <w:szCs w:val="24"/>
        </w:rPr>
        <w:t>调研日照港，围绕卸船机自动化系统中的操控台、作业过程防护进行了调研和验证，涵盖了操控台人机界面信息显示、落料保护、堵料保护、</w:t>
      </w:r>
      <w:proofErr w:type="gramStart"/>
      <w:r>
        <w:rPr>
          <w:rFonts w:ascii="宋体" w:hAnsi="宋体" w:cs="宋体" w:hint="eastAsia"/>
          <w:sz w:val="24"/>
          <w:szCs w:val="24"/>
        </w:rPr>
        <w:t>抑尘保护</w:t>
      </w:r>
      <w:proofErr w:type="gramEnd"/>
      <w:r>
        <w:rPr>
          <w:rFonts w:ascii="宋体" w:hAnsi="宋体" w:cs="宋体" w:hint="eastAsia"/>
          <w:sz w:val="24"/>
          <w:szCs w:val="24"/>
        </w:rPr>
        <w:t>等方面的条款。现场测试了系统切换自动模式时，作业过程中落料、堵料、</w:t>
      </w:r>
      <w:proofErr w:type="gramStart"/>
      <w:r>
        <w:rPr>
          <w:rFonts w:ascii="宋体" w:hAnsi="宋体" w:cs="宋体" w:hint="eastAsia"/>
          <w:sz w:val="24"/>
          <w:szCs w:val="24"/>
        </w:rPr>
        <w:t>抑尘等</w:t>
      </w:r>
      <w:proofErr w:type="gramEnd"/>
      <w:r>
        <w:rPr>
          <w:rFonts w:ascii="宋体" w:hAnsi="宋体" w:cs="宋体" w:hint="eastAsia"/>
          <w:sz w:val="24"/>
          <w:szCs w:val="24"/>
        </w:rPr>
        <w:t>保护的有效性与合理性，并据此完善了本标准“操控台”与“安全防护”等模块的配置要求。</w:t>
      </w:r>
    </w:p>
    <w:p w14:paraId="7B6B9E0E" w14:textId="77777777" w:rsidR="009220F6" w:rsidRDefault="00000000">
      <w:pPr>
        <w:adjustRightInd w:val="0"/>
        <w:spacing w:line="360" w:lineRule="auto"/>
        <w:ind w:firstLineChars="200" w:firstLine="480"/>
        <w:textAlignment w:val="baseline"/>
        <w:rPr>
          <w:rFonts w:ascii="宋体" w:hAnsi="宋体" w:cs="宋体" w:hint="eastAsia"/>
          <w:sz w:val="24"/>
          <w:szCs w:val="24"/>
        </w:rPr>
      </w:pPr>
      <w:r>
        <w:rPr>
          <w:rFonts w:ascii="宋体" w:hAnsi="宋体" w:cs="宋体" w:hint="eastAsia"/>
          <w:sz w:val="24"/>
          <w:szCs w:val="24"/>
        </w:rPr>
        <w:t>山东朝辉自动化科技有限责任公司，依托其在自动化控制系统研发方面的技术优势，开展了卸船机自动化系统控制模块、感知数据采集方法的试验工作。</w:t>
      </w:r>
      <w:r>
        <w:rPr>
          <w:rFonts w:ascii="宋体" w:hAnsi="宋体" w:cs="宋体" w:hint="eastAsia"/>
          <w:sz w:val="24"/>
          <w:szCs w:val="24"/>
        </w:rPr>
        <w:lastRenderedPageBreak/>
        <w:t>通过与港口现场运行数据比对，验证并修订了标准中关于感知模块和控制模块部分，使条款更加科学、实用。</w:t>
      </w:r>
    </w:p>
    <w:p w14:paraId="744FE7A4" w14:textId="77777777" w:rsidR="009220F6" w:rsidRDefault="00000000">
      <w:pPr>
        <w:pStyle w:val="afa"/>
        <w:numPr>
          <w:ilvl w:val="0"/>
          <w:numId w:val="5"/>
        </w:numPr>
        <w:spacing w:beforeLines="50" w:before="156" w:line="360" w:lineRule="auto"/>
        <w:ind w:firstLineChars="0"/>
        <w:rPr>
          <w:rFonts w:ascii="宋体" w:hAnsi="宋体" w:hint="eastAsia"/>
          <w:b/>
          <w:bCs/>
          <w:sz w:val="24"/>
          <w:szCs w:val="24"/>
        </w:rPr>
      </w:pPr>
      <w:r>
        <w:rPr>
          <w:rFonts w:ascii="宋体" w:hAnsi="宋体" w:hint="eastAsia"/>
          <w:b/>
          <w:bCs/>
          <w:sz w:val="24"/>
          <w:szCs w:val="24"/>
        </w:rPr>
        <w:t>国内外应用综述</w:t>
      </w:r>
    </w:p>
    <w:p w14:paraId="351A9BAB" w14:textId="77777777" w:rsidR="009220F6" w:rsidRDefault="00000000">
      <w:pPr>
        <w:spacing w:beforeLines="50" w:before="156" w:line="360" w:lineRule="auto"/>
        <w:ind w:firstLineChars="200" w:firstLine="482"/>
        <w:rPr>
          <w:rFonts w:ascii="宋体" w:hAnsi="宋体" w:hint="eastAsia"/>
          <w:sz w:val="24"/>
          <w:szCs w:val="24"/>
        </w:rPr>
      </w:pPr>
      <w:r>
        <w:rPr>
          <w:rFonts w:ascii="宋体" w:hAnsi="宋体" w:hint="eastAsia"/>
          <w:b/>
          <w:bCs/>
          <w:sz w:val="24"/>
          <w:szCs w:val="24"/>
        </w:rPr>
        <w:t>国外卸船机自动化系统的现状及发展趋势与水平：</w:t>
      </w:r>
      <w:r>
        <w:rPr>
          <w:rFonts w:ascii="宋体" w:hAnsi="宋体" w:cs="宋体"/>
          <w:sz w:val="24"/>
          <w:szCs w:val="24"/>
        </w:rPr>
        <w:t>自20世纪90年代以来，随着港口装卸规模的不断扩大和劳动力成本的持续上升，欧美、日本、韩国等港口发达国家和地区陆续开展了散货装卸设备自动化与智能化研究，并在部分大型干散货码头开展了卸船机自动化系统的工程应用探索。总体来看，国外卸船机自动化系统起步较早，在局部功能自动化、远程操控和辅助决策等方面积累了一定的工程经验。在系统应用模式方面，国外卸船机自动化多以远程控制与半自动作业模式为主，通过视频监控、传感器感知和控制系统联动，实现卸船作业的远程化和减人化运行。部分港口在抓斗防摇、自动定位、作业路径优化等关键技术上已实现工程应用，但整体仍以人工参与决策和监控为主，尚未形成高度自主的全流程自动化作业体系。总体而言，国外卸船机自动化系统在关键技术和工程实践方面已取得一定进展，但整体仍处于从功能自动化向系统级、智能化自动化演进的阶段。在统一技术架构、数据交互规范和系统标准化方面仍存在不足，这也为开展卸船机自动化系统相关标准研究和制定提供了现实需求和发展空间。</w:t>
      </w:r>
    </w:p>
    <w:p w14:paraId="1CFCF104" w14:textId="77777777" w:rsidR="009220F6" w:rsidRDefault="00000000">
      <w:pPr>
        <w:spacing w:beforeLines="50" w:before="156" w:line="360" w:lineRule="auto"/>
        <w:ind w:firstLineChars="200" w:firstLine="482"/>
        <w:rPr>
          <w:rFonts w:ascii="宋体" w:hAnsi="宋体" w:hint="eastAsia"/>
          <w:sz w:val="24"/>
          <w:szCs w:val="24"/>
        </w:rPr>
      </w:pPr>
      <w:r>
        <w:rPr>
          <w:rFonts w:ascii="宋体" w:hAnsi="宋体" w:hint="eastAsia"/>
          <w:b/>
          <w:bCs/>
          <w:sz w:val="24"/>
          <w:szCs w:val="24"/>
        </w:rPr>
        <w:t>国内卸船机自动化系统的现状及发展趋势与水平：</w:t>
      </w:r>
      <w:r>
        <w:rPr>
          <w:rFonts w:ascii="宋体" w:hAnsi="宋体" w:hint="eastAsia"/>
          <w:sz w:val="24"/>
          <w:szCs w:val="24"/>
        </w:rPr>
        <w:t>2023年11月24日，《交通运输部关于加快智慧港口和智慧航道建设的意见》（下称《意见》）正式出台。《意见》明确，要有序推进大宗干散货码头作业自动化。加快推动秦皇岛港、唐山港、黄骅港、青岛港、日照港、宁波舟山港、苏州港等具备条件的港口干散货码头“翻”“堆”“取”“装”“卸”等全流程自动化改造，推进翻车机、堆取料机、装船机、卸船机、</w:t>
      </w:r>
      <w:proofErr w:type="gramStart"/>
      <w:r>
        <w:rPr>
          <w:rFonts w:ascii="宋体" w:hAnsi="宋体" w:hint="eastAsia"/>
          <w:sz w:val="24"/>
          <w:szCs w:val="24"/>
        </w:rPr>
        <w:t>门座式</w:t>
      </w:r>
      <w:proofErr w:type="gramEnd"/>
      <w:r>
        <w:rPr>
          <w:rFonts w:ascii="宋体" w:hAnsi="宋体" w:hint="eastAsia"/>
          <w:sz w:val="24"/>
          <w:szCs w:val="24"/>
        </w:rPr>
        <w:t>起重机、装车楼等专业化设备设施自动化、智能化升级。推动唐山港、黄骅港、青岛港、北部湾港等港口建设干散货数字堆场。鼓励建设干散货码头生产作业一体化管控平台。散货码头的卸船机自动化系统成熟推广应用，必然标准先行。</w:t>
      </w:r>
    </w:p>
    <w:p w14:paraId="3732CCC1" w14:textId="77777777" w:rsidR="009220F6" w:rsidRDefault="00000000">
      <w:pPr>
        <w:spacing w:beforeLines="50" w:before="156" w:line="360" w:lineRule="auto"/>
        <w:ind w:firstLineChars="200" w:firstLine="480"/>
        <w:rPr>
          <w:rFonts w:ascii="宋体" w:hAnsi="宋体" w:hint="eastAsia"/>
          <w:sz w:val="24"/>
          <w:szCs w:val="24"/>
        </w:rPr>
      </w:pPr>
      <w:r>
        <w:rPr>
          <w:rFonts w:ascii="宋体" w:hAnsi="宋体" w:cs="宋体"/>
          <w:sz w:val="24"/>
          <w:szCs w:val="24"/>
        </w:rPr>
        <w:t>自上世纪90年代以来，国内沿海及内河散货码头卸船作业主要依赖人工操作，尤其在铁矿石、煤炭、粮食等散货作业中，由于货种杂、船型多、堆场复杂，自动化改造难度较大。卸船机自动化改造是一项系统性工程，面临诸多挑战。首</w:t>
      </w:r>
      <w:r>
        <w:rPr>
          <w:rFonts w:ascii="宋体" w:hAnsi="宋体" w:cs="宋体"/>
          <w:sz w:val="24"/>
          <w:szCs w:val="24"/>
        </w:rPr>
        <w:lastRenderedPageBreak/>
        <w:t>先，许多港口卸船机设备年代久远，机械结构老化且精度有限，直接集成现代自动化控制、传感和抓斗力反馈系统难度较大，同时不同货种的抓取要求也增加了改造复杂性。在感知与控制方面，散货码头环境多变，包括风力、粉尘、雨雪以及船舶晃动等因素，使得抓斗定位和路径控制难以实现高精度和稳定性，而旧有控制系统多为独立PLC或模拟控制，升级为智能闭环系统需要重新设计运动控制逻辑。此外，由于缺乏统一的标准和数据接口，系统集成和数据互通难度较大，加上改造投入高、设备停机影响作业以及操作人员培训成本高，使得卸船机自动化改造成为一项技术复杂、成本密集且需要系统化解决方案的工程。</w:t>
      </w:r>
    </w:p>
    <w:p w14:paraId="46A0D462" w14:textId="77777777" w:rsidR="009220F6" w:rsidRDefault="00000000">
      <w:pPr>
        <w:spacing w:beforeLines="50" w:before="156" w:line="360" w:lineRule="auto"/>
        <w:ind w:firstLineChars="200" w:firstLine="480"/>
        <w:rPr>
          <w:rFonts w:ascii="宋体" w:hAnsi="宋体" w:hint="eastAsia"/>
          <w:sz w:val="24"/>
          <w:szCs w:val="24"/>
        </w:rPr>
      </w:pPr>
      <w:r>
        <w:rPr>
          <w:rFonts w:ascii="宋体" w:hAnsi="宋体" w:cs="宋体"/>
          <w:sz w:val="24"/>
          <w:szCs w:val="24"/>
        </w:rPr>
        <w:t>为</w:t>
      </w:r>
      <w:r>
        <w:rPr>
          <w:rFonts w:ascii="宋体" w:hAnsi="宋体" w:cs="宋体" w:hint="eastAsia"/>
          <w:sz w:val="24"/>
          <w:szCs w:val="24"/>
        </w:rPr>
        <w:t>攻克</w:t>
      </w:r>
      <w:r>
        <w:rPr>
          <w:rFonts w:ascii="宋体" w:hAnsi="宋体" w:cs="宋体"/>
          <w:sz w:val="24"/>
          <w:szCs w:val="24"/>
        </w:rPr>
        <w:t>卸船机自动化改造中</w:t>
      </w:r>
      <w:r>
        <w:rPr>
          <w:rFonts w:ascii="宋体" w:hAnsi="宋体" w:cs="宋体" w:hint="eastAsia"/>
          <w:sz w:val="24"/>
          <w:szCs w:val="24"/>
        </w:rPr>
        <w:t>诸多难题</w:t>
      </w:r>
      <w:r>
        <w:rPr>
          <w:rFonts w:ascii="宋体" w:hAnsi="宋体" w:cs="宋体"/>
          <w:sz w:val="24"/>
          <w:szCs w:val="24"/>
        </w:rPr>
        <w:t>，国内港口和科研机构采取了</w:t>
      </w:r>
      <w:r>
        <w:rPr>
          <w:rFonts w:ascii="宋体" w:hAnsi="宋体" w:cs="宋体" w:hint="eastAsia"/>
          <w:sz w:val="24"/>
          <w:szCs w:val="24"/>
        </w:rPr>
        <w:t>针对性</w:t>
      </w:r>
      <w:r>
        <w:rPr>
          <w:rFonts w:ascii="宋体" w:hAnsi="宋体" w:cs="宋体"/>
          <w:sz w:val="24"/>
          <w:szCs w:val="24"/>
        </w:rPr>
        <w:t>的技术和管理手段。针对老旧设备的机械和控制系统改造，通过引入伺服电机、液压闭环控制及智能抓斗力反馈装置，提高了卸船机动作的精度与可靠性；在感知与环境适应方面，港口广泛应用激光雷达、高清摄像头、GNSS定位及惯性导航融合技术，实现了复杂作业环境下的抓斗精准识别与定位，同时配套开发了动态补偿算法以应对船舶晃动和风力扰动。为保障安全与可靠性，系统集成了碰撞防护、紧急停机和故障预警机制，并结合远程操控和智能监控，实现了高风险作业环境下的安全可控。通过这些技术创新与管理措施，国内港口在散货码头和集装箱码头均实现了卸船机自动化的示范应用，为全流程</w:t>
      </w:r>
      <w:proofErr w:type="gramStart"/>
      <w:r>
        <w:rPr>
          <w:rFonts w:ascii="宋体" w:hAnsi="宋体" w:cs="宋体"/>
          <w:sz w:val="24"/>
          <w:szCs w:val="24"/>
        </w:rPr>
        <w:t>无人化</w:t>
      </w:r>
      <w:proofErr w:type="gramEnd"/>
      <w:r>
        <w:rPr>
          <w:rFonts w:ascii="宋体" w:hAnsi="宋体" w:cs="宋体"/>
          <w:sz w:val="24"/>
          <w:szCs w:val="24"/>
        </w:rPr>
        <w:t>作业和规模化推广奠定了基础。</w:t>
      </w:r>
    </w:p>
    <w:p w14:paraId="5ABA791A" w14:textId="77777777" w:rsidR="009220F6" w:rsidRDefault="00000000">
      <w:pPr>
        <w:spacing w:beforeLines="50" w:before="156" w:line="360" w:lineRule="auto"/>
        <w:ind w:firstLineChars="200" w:firstLine="480"/>
        <w:rPr>
          <w:rFonts w:ascii="宋体" w:hAnsi="宋体" w:hint="eastAsia"/>
          <w:sz w:val="24"/>
          <w:szCs w:val="24"/>
        </w:rPr>
      </w:pPr>
      <w:r>
        <w:rPr>
          <w:rFonts w:ascii="宋体" w:hAnsi="宋体" w:hint="eastAsia"/>
          <w:sz w:val="24"/>
          <w:szCs w:val="24"/>
        </w:rPr>
        <w:t>在散货码头卸船机自动化系统技术要求标准化研究方面，青岛港已在该领域进行了长期的摸索，于2023年初在二十万吨级码头实现卸船机远程自动化作业，并克服卸船机自动化作业过程中抓斗防摇、机构防撞和人员防入侵等一系列技术难题，在实践运营中积累了大量的经验。</w:t>
      </w:r>
    </w:p>
    <w:p w14:paraId="3EC4B389" w14:textId="77777777" w:rsidR="009220F6" w:rsidRDefault="00000000">
      <w:pPr>
        <w:pStyle w:val="afa"/>
        <w:numPr>
          <w:ilvl w:val="0"/>
          <w:numId w:val="5"/>
        </w:numPr>
        <w:spacing w:beforeLines="50" w:before="156" w:line="360" w:lineRule="auto"/>
        <w:ind w:firstLineChars="0"/>
        <w:rPr>
          <w:rFonts w:ascii="宋体" w:hAnsi="宋体" w:hint="eastAsia"/>
          <w:b/>
          <w:bCs/>
          <w:sz w:val="24"/>
          <w:szCs w:val="24"/>
        </w:rPr>
      </w:pPr>
      <w:r>
        <w:rPr>
          <w:rFonts w:ascii="宋体" w:hAnsi="宋体" w:hint="eastAsia"/>
          <w:b/>
          <w:bCs/>
          <w:sz w:val="24"/>
          <w:szCs w:val="24"/>
        </w:rPr>
        <w:t>标准技术水平状况分析</w:t>
      </w:r>
    </w:p>
    <w:p w14:paraId="38458035" w14:textId="77777777" w:rsidR="009220F6" w:rsidRDefault="00000000">
      <w:pPr>
        <w:spacing w:beforeLines="50" w:before="156" w:line="360" w:lineRule="auto"/>
        <w:ind w:firstLineChars="200" w:firstLine="480"/>
        <w:rPr>
          <w:rFonts w:ascii="宋体" w:hAnsi="宋体" w:hint="eastAsia"/>
          <w:sz w:val="24"/>
          <w:szCs w:val="24"/>
        </w:rPr>
      </w:pPr>
      <w:r>
        <w:rPr>
          <w:rFonts w:ascii="宋体" w:hAnsi="宋体" w:cs="宋体"/>
          <w:sz w:val="24"/>
          <w:szCs w:val="24"/>
        </w:rPr>
        <w:t>卸船机自动化系统作为港口智能化的核心装备，其标准化和技术水平直接影响港口作业效率和安全。国内外卸船机自动化技术在感知、控制和安全</w:t>
      </w:r>
      <w:r>
        <w:rPr>
          <w:rFonts w:ascii="宋体" w:hAnsi="宋体" w:cs="宋体" w:hint="eastAsia"/>
          <w:sz w:val="24"/>
          <w:szCs w:val="24"/>
        </w:rPr>
        <w:t>防护</w:t>
      </w:r>
      <w:r>
        <w:rPr>
          <w:rFonts w:ascii="宋体" w:hAnsi="宋体" w:cs="宋体"/>
          <w:sz w:val="24"/>
          <w:szCs w:val="24"/>
        </w:rPr>
        <w:t>等方面持续发展，但标准化水平参差不齐，需要系统分析现状，为推广应用和标准制定提供依据。</w:t>
      </w:r>
      <w:r>
        <w:rPr>
          <w:rFonts w:ascii="宋体" w:hAnsi="宋体" w:hint="eastAsia"/>
          <w:sz w:val="24"/>
          <w:szCs w:val="24"/>
        </w:rPr>
        <w:t>本标准汇聚了各个港口、设备制造商、通信与</w:t>
      </w:r>
      <w:proofErr w:type="gramStart"/>
      <w:r>
        <w:rPr>
          <w:rFonts w:ascii="宋体" w:hAnsi="宋体" w:hint="eastAsia"/>
          <w:sz w:val="24"/>
          <w:szCs w:val="24"/>
        </w:rPr>
        <w:t>云服务</w:t>
      </w:r>
      <w:proofErr w:type="gramEnd"/>
      <w:r>
        <w:rPr>
          <w:rFonts w:ascii="宋体" w:hAnsi="宋体" w:hint="eastAsia"/>
          <w:sz w:val="24"/>
          <w:szCs w:val="24"/>
        </w:rPr>
        <w:t>企业的核心业务与数据格式，总体技术水平达到国际先进，可为全球散货码头卸船机自动化</w:t>
      </w:r>
      <w:r>
        <w:rPr>
          <w:rFonts w:ascii="宋体" w:hAnsi="宋体" w:hint="eastAsia"/>
          <w:sz w:val="24"/>
          <w:szCs w:val="24"/>
        </w:rPr>
        <w:lastRenderedPageBreak/>
        <w:t>系统构成与配置要求提供可复制、可扩展的中国方案。</w:t>
      </w:r>
    </w:p>
    <w:p w14:paraId="7816DC48" w14:textId="77777777" w:rsidR="009220F6" w:rsidRDefault="00000000">
      <w:pPr>
        <w:pStyle w:val="afa"/>
        <w:numPr>
          <w:ilvl w:val="0"/>
          <w:numId w:val="5"/>
        </w:numPr>
        <w:spacing w:beforeLines="50" w:before="156" w:line="360" w:lineRule="auto"/>
        <w:ind w:firstLineChars="0"/>
        <w:rPr>
          <w:rFonts w:asciiTheme="minorEastAsia" w:eastAsiaTheme="minorEastAsia" w:hAnsiTheme="minorEastAsia" w:hint="eastAsia"/>
          <w:b/>
          <w:sz w:val="24"/>
          <w:szCs w:val="24"/>
        </w:rPr>
      </w:pPr>
      <w:r>
        <w:rPr>
          <w:rFonts w:asciiTheme="minorEastAsia" w:eastAsiaTheme="minorEastAsia" w:hAnsiTheme="minorEastAsia"/>
          <w:b/>
          <w:sz w:val="24"/>
          <w:szCs w:val="24"/>
        </w:rPr>
        <w:t>预期效果</w:t>
      </w:r>
    </w:p>
    <w:p w14:paraId="69E92CF5" w14:textId="77777777" w:rsidR="009220F6" w:rsidRDefault="00000000">
      <w:pPr>
        <w:spacing w:beforeLines="50" w:before="156" w:line="360" w:lineRule="auto"/>
        <w:ind w:firstLineChars="200" w:firstLine="480"/>
        <w:rPr>
          <w:rFonts w:ascii="宋体" w:hAnsi="宋体" w:hint="eastAsia"/>
          <w:sz w:val="24"/>
          <w:szCs w:val="24"/>
        </w:rPr>
      </w:pPr>
      <w:r>
        <w:rPr>
          <w:rFonts w:ascii="宋体" w:hAnsi="宋体" w:hint="eastAsia"/>
          <w:sz w:val="24"/>
          <w:szCs w:val="24"/>
        </w:rPr>
        <w:t>卸船机自动化系统技术要求的制定，需要充分覆盖不同港口散货作业场景，系统技术内容的形成需综合考虑卸船工艺流程、自动化控制技术、感知与定位手段、安全防护措施以及信息安全与政策合</w:t>
      </w:r>
      <w:proofErr w:type="gramStart"/>
      <w:r>
        <w:rPr>
          <w:rFonts w:ascii="宋体" w:hAnsi="宋体" w:hint="eastAsia"/>
          <w:sz w:val="24"/>
          <w:szCs w:val="24"/>
        </w:rPr>
        <w:t>规</w:t>
      </w:r>
      <w:proofErr w:type="gramEnd"/>
      <w:r>
        <w:rPr>
          <w:rFonts w:ascii="宋体" w:hAnsi="宋体" w:hint="eastAsia"/>
          <w:sz w:val="24"/>
          <w:szCs w:val="24"/>
        </w:rPr>
        <w:t>等多方面因素，为标准制定提供全面、系统的技术支撑。该标准发布并实施后，预期可达到以下效果。</w:t>
      </w:r>
    </w:p>
    <w:p w14:paraId="21159C94" w14:textId="77777777" w:rsidR="009220F6" w:rsidRDefault="00000000">
      <w:pPr>
        <w:spacing w:beforeLines="50" w:before="156" w:line="360" w:lineRule="auto"/>
        <w:ind w:firstLineChars="200" w:firstLine="480"/>
        <w:rPr>
          <w:rFonts w:ascii="宋体" w:hAnsi="宋体" w:hint="eastAsia"/>
          <w:sz w:val="24"/>
          <w:szCs w:val="24"/>
        </w:rPr>
      </w:pPr>
      <w:r>
        <w:rPr>
          <w:rFonts w:ascii="宋体" w:hAnsi="宋体" w:hint="eastAsia"/>
          <w:sz w:val="24"/>
          <w:szCs w:val="24"/>
        </w:rPr>
        <w:t>1、有助于构建卸船机自动化系统统一的技术架构和功能体系，规范感知、定位、控制、操控台和安全防护等关键系统的配置要求，实现卸船作业相关数据的统一采集、处理与共享，为港口智能化建设夯实装备和数据基础。</w:t>
      </w:r>
    </w:p>
    <w:p w14:paraId="45C50E6B" w14:textId="77777777" w:rsidR="009220F6" w:rsidRDefault="00000000">
      <w:pPr>
        <w:spacing w:beforeLines="50" w:before="156" w:line="360" w:lineRule="auto"/>
        <w:ind w:firstLineChars="200" w:firstLine="480"/>
        <w:rPr>
          <w:rFonts w:ascii="宋体" w:hAnsi="宋体" w:hint="eastAsia"/>
          <w:sz w:val="24"/>
          <w:szCs w:val="24"/>
        </w:rPr>
      </w:pPr>
      <w:r>
        <w:rPr>
          <w:rFonts w:ascii="宋体" w:hAnsi="宋体" w:hint="eastAsia"/>
          <w:sz w:val="24"/>
          <w:szCs w:val="24"/>
        </w:rPr>
        <w:t>2、有助于指导港口企业推进卸船机自动化系统的规划建设和应用实施，提升卸船作业的自动化、智能化和规范化水平，降低对人工经验的依赖，减少作业风险和运行维护成本，提高卸船作业效率和运行稳定性。</w:t>
      </w:r>
    </w:p>
    <w:p w14:paraId="54AD9D3C" w14:textId="77777777" w:rsidR="009220F6" w:rsidRDefault="00000000">
      <w:pPr>
        <w:spacing w:beforeLines="50" w:before="156" w:line="360" w:lineRule="auto"/>
        <w:ind w:firstLineChars="200" w:firstLine="480"/>
        <w:rPr>
          <w:rFonts w:ascii="宋体" w:hAnsi="宋体" w:hint="eastAsia"/>
          <w:sz w:val="24"/>
          <w:szCs w:val="24"/>
        </w:rPr>
      </w:pPr>
      <w:r>
        <w:rPr>
          <w:rFonts w:ascii="宋体" w:hAnsi="宋体" w:hint="eastAsia"/>
          <w:sz w:val="24"/>
          <w:szCs w:val="24"/>
        </w:rPr>
        <w:t>3、有利于系统总结和固化卸船机自动化领域的工程实践经验，积极跟踪国内外自动化、智能港口相关技术和标准发展动态，为相关企业和技术单位提供开放、共享的技术规范平台，提升行业整体技术研发能力和应用水平。</w:t>
      </w:r>
    </w:p>
    <w:p w14:paraId="6B6DF53D" w14:textId="77777777" w:rsidR="009220F6" w:rsidRDefault="00000000">
      <w:pPr>
        <w:spacing w:beforeLines="50" w:before="156" w:line="360" w:lineRule="auto"/>
        <w:ind w:firstLineChars="200" w:firstLine="480"/>
        <w:rPr>
          <w:rFonts w:ascii="宋体" w:hAnsi="宋体" w:hint="eastAsia"/>
          <w:sz w:val="24"/>
          <w:szCs w:val="24"/>
        </w:rPr>
      </w:pPr>
      <w:r>
        <w:rPr>
          <w:rFonts w:ascii="宋体" w:hAnsi="宋体" w:hint="eastAsia"/>
          <w:sz w:val="24"/>
          <w:szCs w:val="24"/>
        </w:rPr>
        <w:t>4、有助于加强卸船机自动化领域的标准化管理和技术协同，形成较为完整、可实施的卸船机自动化系统技术规范，在充分结合国内港口实际应用情况的基础上，为后续将相关标准逐步提升为行业标准或国家标准奠定技术基础，并推动与国际标准的交流与衔接。</w:t>
      </w:r>
    </w:p>
    <w:p w14:paraId="75F3DC87" w14:textId="77777777" w:rsidR="009220F6" w:rsidRDefault="00000000">
      <w:pPr>
        <w:spacing w:beforeLines="50" w:before="156" w:line="360" w:lineRule="auto"/>
        <w:ind w:firstLineChars="200" w:firstLine="480"/>
        <w:rPr>
          <w:rFonts w:ascii="宋体" w:hAnsi="宋体" w:hint="eastAsia"/>
          <w:sz w:val="24"/>
          <w:szCs w:val="24"/>
        </w:rPr>
      </w:pPr>
      <w:r>
        <w:rPr>
          <w:rFonts w:ascii="宋体" w:hAnsi="宋体" w:hint="eastAsia"/>
          <w:sz w:val="24"/>
          <w:szCs w:val="24"/>
        </w:rPr>
        <w:t>总之，本标准的制定和实施，规范了卸船机自动化系统技术要求，将在提升卸船作业安全性、效率和智能化水平等方面发挥积极作用，随着标准的宣贯和推广应用，预期将取得良好的经济效益和社会效益。</w:t>
      </w:r>
    </w:p>
    <w:p w14:paraId="30200FCE" w14:textId="77777777" w:rsidR="009220F6" w:rsidRDefault="00000000">
      <w:pPr>
        <w:numPr>
          <w:ilvl w:val="0"/>
          <w:numId w:val="6"/>
        </w:numPr>
        <w:spacing w:beforeLines="50" w:before="156" w:line="360" w:lineRule="auto"/>
        <w:outlineLvl w:val="0"/>
        <w:rPr>
          <w:rFonts w:asciiTheme="minorEastAsia" w:eastAsiaTheme="minorEastAsia" w:hAnsiTheme="minorEastAsia" w:hint="eastAsia"/>
          <w:b/>
          <w:sz w:val="24"/>
          <w:szCs w:val="24"/>
        </w:rPr>
      </w:pPr>
      <w:bookmarkStart w:id="15" w:name="_Toc46098153"/>
      <w:r>
        <w:rPr>
          <w:rFonts w:asciiTheme="minorEastAsia" w:eastAsiaTheme="minorEastAsia" w:hAnsiTheme="minorEastAsia"/>
          <w:b/>
          <w:sz w:val="24"/>
          <w:szCs w:val="24"/>
        </w:rPr>
        <w:t>采用国际标准和国外先进标准的程度，以及与国际、国外同类标准水平的对比情况，或与测试的国外样品、样机的有关数据对比情况</w:t>
      </w:r>
      <w:bookmarkEnd w:id="15"/>
    </w:p>
    <w:p w14:paraId="53838E8B" w14:textId="77777777" w:rsidR="009220F6" w:rsidRDefault="00000000">
      <w:pPr>
        <w:spacing w:beforeLines="50" w:before="156" w:line="360" w:lineRule="auto"/>
        <w:ind w:firstLine="420"/>
        <w:rPr>
          <w:sz w:val="24"/>
          <w:szCs w:val="24"/>
        </w:rPr>
      </w:pPr>
      <w:bookmarkStart w:id="16" w:name="_Toc46098154"/>
      <w:r>
        <w:rPr>
          <w:rFonts w:hint="eastAsia"/>
          <w:sz w:val="24"/>
          <w:szCs w:val="24"/>
        </w:rPr>
        <w:t>无。</w:t>
      </w:r>
    </w:p>
    <w:p w14:paraId="1B248E35" w14:textId="77777777" w:rsidR="009220F6" w:rsidRDefault="00000000">
      <w:pPr>
        <w:spacing w:beforeLines="50" w:before="156" w:line="360" w:lineRule="auto"/>
        <w:outlineLvl w:val="0"/>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五、</w:t>
      </w:r>
      <w:r>
        <w:rPr>
          <w:rFonts w:asciiTheme="minorEastAsia" w:eastAsiaTheme="minorEastAsia" w:hAnsiTheme="minorEastAsia"/>
          <w:b/>
          <w:sz w:val="24"/>
          <w:szCs w:val="24"/>
        </w:rPr>
        <w:t>与有关的现行法律、法规和强制性标准的关系</w:t>
      </w:r>
      <w:bookmarkEnd w:id="16"/>
    </w:p>
    <w:p w14:paraId="3DA3131F" w14:textId="77777777" w:rsidR="009220F6" w:rsidRDefault="00000000">
      <w:pPr>
        <w:pStyle w:val="afd"/>
        <w:spacing w:line="360" w:lineRule="auto"/>
        <w:ind w:firstLine="480"/>
        <w:rPr>
          <w:rFonts w:hAnsi="宋体" w:hint="eastAsia"/>
          <w:sz w:val="24"/>
          <w:szCs w:val="24"/>
        </w:rPr>
      </w:pPr>
      <w:r>
        <w:rPr>
          <w:rFonts w:asciiTheme="minorEastAsia" w:eastAsiaTheme="minorEastAsia" w:hAnsiTheme="minorEastAsia" w:hint="eastAsia"/>
          <w:kern w:val="2"/>
          <w:sz w:val="24"/>
          <w:szCs w:val="24"/>
        </w:rPr>
        <w:lastRenderedPageBreak/>
        <w:t>本标准引用了GB/T 6974.1</w:t>
      </w:r>
      <w:r>
        <w:rPr>
          <w:rFonts w:hAnsi="宋体" w:hint="eastAsia"/>
          <w:sz w:val="24"/>
          <w:szCs w:val="24"/>
        </w:rPr>
        <w:t>《</w:t>
      </w:r>
      <w:r>
        <w:rPr>
          <w:rFonts w:asciiTheme="minorEastAsia" w:eastAsiaTheme="minorEastAsia" w:hAnsiTheme="minorEastAsia" w:hint="eastAsia"/>
          <w:kern w:val="2"/>
          <w:sz w:val="24"/>
          <w:szCs w:val="24"/>
        </w:rPr>
        <w:t>起重机 术语</w:t>
      </w:r>
      <w:r>
        <w:rPr>
          <w:rFonts w:hAnsi="宋体" w:hint="eastAsia"/>
          <w:sz w:val="24"/>
          <w:szCs w:val="24"/>
        </w:rPr>
        <w:t>》</w:t>
      </w:r>
      <w:r>
        <w:rPr>
          <w:rFonts w:asciiTheme="minorEastAsia" w:eastAsiaTheme="minorEastAsia" w:hAnsiTheme="minorEastAsia" w:hint="eastAsia"/>
          <w:kern w:val="2"/>
          <w:sz w:val="24"/>
          <w:szCs w:val="24"/>
        </w:rPr>
        <w:t>第 1 部分：通用术语、GB/T 26475</w:t>
      </w:r>
      <w:r>
        <w:rPr>
          <w:rFonts w:hAnsi="宋体" w:hint="eastAsia"/>
          <w:sz w:val="24"/>
          <w:szCs w:val="24"/>
        </w:rPr>
        <w:t>《</w:t>
      </w:r>
      <w:r>
        <w:rPr>
          <w:rFonts w:asciiTheme="minorEastAsia" w:eastAsiaTheme="minorEastAsia" w:hAnsiTheme="minorEastAsia" w:hint="eastAsia"/>
          <w:kern w:val="2"/>
          <w:sz w:val="24"/>
          <w:szCs w:val="24"/>
        </w:rPr>
        <w:t>桥式抓斗卸船机</w:t>
      </w:r>
      <w:r>
        <w:rPr>
          <w:rFonts w:hAnsi="宋体" w:hint="eastAsia"/>
          <w:sz w:val="24"/>
          <w:szCs w:val="24"/>
        </w:rPr>
        <w:t>》</w:t>
      </w:r>
      <w:r>
        <w:rPr>
          <w:rFonts w:asciiTheme="minorEastAsia" w:eastAsiaTheme="minorEastAsia" w:hAnsiTheme="minorEastAsia" w:hint="eastAsia"/>
          <w:kern w:val="2"/>
          <w:sz w:val="24"/>
          <w:szCs w:val="24"/>
        </w:rPr>
        <w:t>、GB/T 50115</w:t>
      </w:r>
      <w:r>
        <w:rPr>
          <w:rFonts w:hAnsi="宋体" w:hint="eastAsia"/>
          <w:sz w:val="24"/>
          <w:szCs w:val="24"/>
        </w:rPr>
        <w:t>《</w:t>
      </w:r>
      <w:r>
        <w:rPr>
          <w:rFonts w:asciiTheme="minorEastAsia" w:eastAsiaTheme="minorEastAsia" w:hAnsiTheme="minorEastAsia" w:hint="eastAsia"/>
          <w:kern w:val="2"/>
          <w:sz w:val="24"/>
          <w:szCs w:val="24"/>
        </w:rPr>
        <w:t>工业电视系统工程设计标准</w:t>
      </w:r>
      <w:r>
        <w:rPr>
          <w:rFonts w:hAnsi="宋体" w:hint="eastAsia"/>
          <w:sz w:val="24"/>
          <w:szCs w:val="24"/>
        </w:rPr>
        <w:t>》</w:t>
      </w:r>
      <w:r>
        <w:rPr>
          <w:rFonts w:asciiTheme="minorEastAsia" w:eastAsiaTheme="minorEastAsia" w:hAnsiTheme="minorEastAsia" w:hint="eastAsia"/>
          <w:kern w:val="2"/>
          <w:sz w:val="24"/>
          <w:szCs w:val="24"/>
        </w:rPr>
        <w:t>，主要是因为在卸船机自动化系统中，</w:t>
      </w:r>
      <w:r>
        <w:rPr>
          <w:rFonts w:hAnsi="宋体" w:hint="eastAsia"/>
          <w:sz w:val="24"/>
          <w:szCs w:val="24"/>
        </w:rPr>
        <w:t>涉及到上述标准内规定的相关术语，并未在本标准中进行定义，采用了引用的方式。</w:t>
      </w:r>
    </w:p>
    <w:p w14:paraId="75F3B04C" w14:textId="77777777" w:rsidR="009220F6" w:rsidRDefault="00000000">
      <w:pPr>
        <w:spacing w:beforeLines="50" w:before="156" w:line="360" w:lineRule="auto"/>
        <w:ind w:firstLine="480"/>
        <w:rPr>
          <w:rFonts w:asciiTheme="minorEastAsia" w:eastAsiaTheme="minorEastAsia" w:hAnsiTheme="minorEastAsia" w:hint="eastAsia"/>
          <w:sz w:val="24"/>
          <w:szCs w:val="24"/>
        </w:rPr>
      </w:pPr>
      <w:r>
        <w:rPr>
          <w:rFonts w:asciiTheme="majorEastAsia" w:eastAsiaTheme="majorEastAsia" w:hAnsiTheme="majorEastAsia" w:hint="eastAsia"/>
          <w:sz w:val="24"/>
          <w:szCs w:val="24"/>
        </w:rPr>
        <w:t>本标准引用了</w:t>
      </w:r>
      <w:r>
        <w:rPr>
          <w:rFonts w:asciiTheme="minorEastAsia" w:eastAsiaTheme="minorEastAsia" w:hAnsiTheme="minorEastAsia" w:hint="eastAsia"/>
          <w:sz w:val="24"/>
          <w:szCs w:val="24"/>
        </w:rPr>
        <w:t>GB 2894</w:t>
      </w:r>
      <w:r>
        <w:rPr>
          <w:rFonts w:asciiTheme="majorEastAsia" w:eastAsiaTheme="majorEastAsia" w:hAnsiTheme="majorEastAsia" w:hint="eastAsia"/>
          <w:sz w:val="24"/>
          <w:szCs w:val="24"/>
        </w:rPr>
        <w:t>《安全色和安全标志》</w:t>
      </w:r>
      <w:r>
        <w:rPr>
          <w:rFonts w:asciiTheme="minorEastAsia" w:eastAsiaTheme="minorEastAsia" w:hAnsiTheme="minorEastAsia" w:hint="eastAsia"/>
          <w:sz w:val="24"/>
          <w:szCs w:val="24"/>
        </w:rPr>
        <w:t>、GB/T 4205</w:t>
      </w:r>
      <w:r>
        <w:rPr>
          <w:rFonts w:asciiTheme="majorEastAsia" w:eastAsiaTheme="majorEastAsia" w:hAnsiTheme="majorEastAsia" w:hint="eastAsia"/>
          <w:sz w:val="24"/>
          <w:szCs w:val="24"/>
        </w:rPr>
        <w:t>《</w:t>
      </w:r>
      <w:r>
        <w:rPr>
          <w:rFonts w:asciiTheme="minorEastAsia" w:eastAsiaTheme="minorEastAsia" w:hAnsiTheme="minorEastAsia" w:hint="eastAsia"/>
          <w:sz w:val="24"/>
          <w:szCs w:val="24"/>
        </w:rPr>
        <w:t>人机界面标志标识的基本和安全规则 操作规则</w:t>
      </w:r>
      <w:r>
        <w:rPr>
          <w:rFonts w:asciiTheme="majorEastAsia" w:eastAsiaTheme="majorEastAsia" w:hAnsiTheme="majorEastAsia" w:hint="eastAsia"/>
          <w:sz w:val="24"/>
          <w:szCs w:val="24"/>
        </w:rPr>
        <w:t>》</w:t>
      </w:r>
      <w:r>
        <w:rPr>
          <w:rFonts w:asciiTheme="minorEastAsia" w:eastAsiaTheme="minorEastAsia" w:hAnsiTheme="minorEastAsia" w:hint="eastAsia"/>
          <w:sz w:val="24"/>
          <w:szCs w:val="24"/>
        </w:rPr>
        <w:t>、GB/T 18224《桥式抓斗卸船机安全规程</w:t>
      </w:r>
      <w:r>
        <w:rPr>
          <w:rFonts w:asciiTheme="majorEastAsia" w:eastAsiaTheme="majorEastAsia" w:hAnsiTheme="majorEastAsia" w:hint="eastAsia"/>
          <w:sz w:val="24"/>
          <w:szCs w:val="24"/>
        </w:rPr>
        <w:t>》</w:t>
      </w:r>
      <w:r>
        <w:rPr>
          <w:rFonts w:asciiTheme="minorEastAsia" w:eastAsiaTheme="minorEastAsia" w:hAnsiTheme="minorEastAsia" w:hint="eastAsia"/>
          <w:sz w:val="24"/>
          <w:szCs w:val="24"/>
        </w:rPr>
        <w:t>、JT/T 90《港口装卸机械风载荷计算及防风安全要求》、JT/T 622</w:t>
      </w:r>
      <w:r>
        <w:rPr>
          <w:rFonts w:asciiTheme="majorEastAsia" w:eastAsiaTheme="majorEastAsia" w:hAnsiTheme="majorEastAsia" w:hint="eastAsia"/>
          <w:sz w:val="24"/>
          <w:szCs w:val="24"/>
        </w:rPr>
        <w:t>《</w:t>
      </w:r>
      <w:r>
        <w:rPr>
          <w:rFonts w:asciiTheme="minorEastAsia" w:eastAsiaTheme="minorEastAsia" w:hAnsiTheme="minorEastAsia" w:hint="eastAsia"/>
          <w:sz w:val="24"/>
          <w:szCs w:val="24"/>
        </w:rPr>
        <w:t>港口装卸机械电气安全规程</w:t>
      </w:r>
      <w:r>
        <w:rPr>
          <w:rFonts w:asciiTheme="majorEastAsia" w:eastAsiaTheme="majorEastAsia" w:hAnsiTheme="majorEastAsia" w:hint="eastAsia"/>
          <w:sz w:val="24"/>
          <w:szCs w:val="24"/>
        </w:rPr>
        <w:t>》</w:t>
      </w:r>
      <w:r>
        <w:rPr>
          <w:rFonts w:asciiTheme="minorEastAsia" w:eastAsiaTheme="minorEastAsia" w:hAnsiTheme="minorEastAsia" w:hint="eastAsia"/>
          <w:sz w:val="24"/>
          <w:szCs w:val="24"/>
        </w:rPr>
        <w:t>、GA/T 1211</w:t>
      </w:r>
      <w:r>
        <w:rPr>
          <w:rFonts w:asciiTheme="majorEastAsia" w:eastAsiaTheme="majorEastAsia" w:hAnsiTheme="majorEastAsia" w:hint="eastAsia"/>
          <w:sz w:val="24"/>
          <w:szCs w:val="24"/>
        </w:rPr>
        <w:t>《</w:t>
      </w:r>
      <w:r>
        <w:rPr>
          <w:rFonts w:asciiTheme="minorEastAsia" w:eastAsiaTheme="minorEastAsia" w:hAnsiTheme="minorEastAsia" w:hint="eastAsia"/>
          <w:sz w:val="24"/>
          <w:szCs w:val="24"/>
        </w:rPr>
        <w:t>安全防范高清视频监控系统技术要求依据</w:t>
      </w:r>
      <w:r>
        <w:rPr>
          <w:rFonts w:asciiTheme="majorEastAsia" w:eastAsiaTheme="majorEastAsia" w:hAnsiTheme="majorEastAsia" w:hint="eastAsia"/>
          <w:sz w:val="24"/>
          <w:szCs w:val="24"/>
        </w:rPr>
        <w:t>》</w:t>
      </w:r>
      <w:r>
        <w:rPr>
          <w:rFonts w:asciiTheme="minorEastAsia" w:eastAsiaTheme="minorEastAsia" w:hAnsiTheme="minorEastAsia" w:hint="eastAsia"/>
          <w:sz w:val="24"/>
          <w:szCs w:val="24"/>
        </w:rPr>
        <w:t>，</w:t>
      </w:r>
      <w:r>
        <w:rPr>
          <w:rFonts w:asciiTheme="majorEastAsia" w:eastAsiaTheme="majorEastAsia" w:hAnsiTheme="majorEastAsia" w:hint="eastAsia"/>
          <w:sz w:val="24"/>
          <w:szCs w:val="24"/>
        </w:rPr>
        <w:t>主要涉及卸船机自动化系统人机交互安全问题。</w:t>
      </w:r>
    </w:p>
    <w:p w14:paraId="560DD8CE" w14:textId="77777777" w:rsidR="009220F6" w:rsidRDefault="00000000">
      <w:pPr>
        <w:pStyle w:val="afd"/>
        <w:spacing w:line="360" w:lineRule="auto"/>
        <w:ind w:firstLine="480"/>
        <w:rPr>
          <w:rFonts w:asciiTheme="majorEastAsia" w:eastAsiaTheme="majorEastAsia" w:hAnsiTheme="majorEastAsia" w:hint="eastAsia"/>
          <w:sz w:val="24"/>
          <w:szCs w:val="24"/>
        </w:rPr>
      </w:pPr>
      <w:r>
        <w:rPr>
          <w:rFonts w:asciiTheme="majorEastAsia" w:eastAsiaTheme="majorEastAsia" w:hAnsiTheme="majorEastAsia" w:hint="eastAsia"/>
          <w:sz w:val="24"/>
          <w:szCs w:val="24"/>
        </w:rPr>
        <w:t>本标准引用了</w:t>
      </w:r>
      <w:r>
        <w:rPr>
          <w:rFonts w:asciiTheme="minorEastAsia" w:eastAsiaTheme="minorEastAsia" w:hAnsiTheme="minorEastAsia" w:hint="eastAsia"/>
          <w:kern w:val="2"/>
          <w:sz w:val="24"/>
          <w:szCs w:val="24"/>
        </w:rPr>
        <w:t>GB/T 22239</w:t>
      </w:r>
      <w:r>
        <w:rPr>
          <w:rFonts w:asciiTheme="majorEastAsia" w:eastAsiaTheme="majorEastAsia" w:hAnsiTheme="majorEastAsia" w:hint="eastAsia"/>
          <w:sz w:val="24"/>
          <w:szCs w:val="24"/>
        </w:rPr>
        <w:t>《</w:t>
      </w:r>
      <w:r>
        <w:rPr>
          <w:rFonts w:asciiTheme="minorEastAsia" w:eastAsiaTheme="minorEastAsia" w:hAnsiTheme="minorEastAsia" w:hint="eastAsia"/>
          <w:kern w:val="2"/>
          <w:sz w:val="24"/>
          <w:szCs w:val="24"/>
        </w:rPr>
        <w:t>信息安全技术 网络安全等级保护基本要求</w:t>
      </w:r>
      <w:r>
        <w:rPr>
          <w:rFonts w:asciiTheme="majorEastAsia" w:eastAsiaTheme="majorEastAsia" w:hAnsiTheme="majorEastAsia" w:hint="eastAsia"/>
          <w:sz w:val="24"/>
          <w:szCs w:val="24"/>
        </w:rPr>
        <w:t>》</w:t>
      </w:r>
      <w:r>
        <w:rPr>
          <w:rFonts w:asciiTheme="minorEastAsia" w:eastAsiaTheme="minorEastAsia" w:hAnsiTheme="minorEastAsia" w:hint="eastAsia"/>
          <w:kern w:val="2"/>
          <w:sz w:val="24"/>
          <w:szCs w:val="24"/>
        </w:rPr>
        <w:t>、GB/T 37934</w:t>
      </w:r>
      <w:r>
        <w:rPr>
          <w:rFonts w:asciiTheme="majorEastAsia" w:eastAsiaTheme="majorEastAsia" w:hAnsiTheme="majorEastAsia" w:hint="eastAsia"/>
          <w:sz w:val="24"/>
          <w:szCs w:val="24"/>
        </w:rPr>
        <w:t>《</w:t>
      </w:r>
      <w:r>
        <w:rPr>
          <w:rFonts w:asciiTheme="minorEastAsia" w:eastAsiaTheme="minorEastAsia" w:hAnsiTheme="minorEastAsia" w:hint="eastAsia"/>
          <w:kern w:val="2"/>
          <w:sz w:val="24"/>
          <w:szCs w:val="24"/>
        </w:rPr>
        <w:t>信息安全技术 工业控制网络安全隔离与信息交换系统安全技术要求</w:t>
      </w:r>
      <w:r>
        <w:rPr>
          <w:rFonts w:asciiTheme="majorEastAsia" w:eastAsiaTheme="majorEastAsia" w:hAnsiTheme="majorEastAsia" w:hint="eastAsia"/>
          <w:sz w:val="24"/>
          <w:szCs w:val="24"/>
        </w:rPr>
        <w:t>》</w:t>
      </w:r>
      <w:r>
        <w:rPr>
          <w:rFonts w:asciiTheme="minorEastAsia" w:eastAsiaTheme="minorEastAsia" w:hAnsiTheme="minorEastAsia" w:hint="eastAsia"/>
          <w:kern w:val="2"/>
          <w:sz w:val="24"/>
          <w:szCs w:val="24"/>
        </w:rPr>
        <w:t>、JT/T 1417</w:t>
      </w:r>
      <w:r>
        <w:rPr>
          <w:rFonts w:asciiTheme="majorEastAsia" w:eastAsiaTheme="majorEastAsia" w:hAnsiTheme="majorEastAsia" w:hint="eastAsia"/>
          <w:sz w:val="24"/>
          <w:szCs w:val="24"/>
        </w:rPr>
        <w:t>《</w:t>
      </w:r>
      <w:r>
        <w:rPr>
          <w:rFonts w:asciiTheme="minorEastAsia" w:eastAsiaTheme="minorEastAsia" w:hAnsiTheme="minorEastAsia" w:hint="eastAsia"/>
          <w:kern w:val="2"/>
          <w:sz w:val="24"/>
          <w:szCs w:val="24"/>
        </w:rPr>
        <w:t>交通运输行业网络安全等级保护基本要求》，</w:t>
      </w:r>
      <w:r>
        <w:rPr>
          <w:rFonts w:asciiTheme="majorEastAsia" w:eastAsiaTheme="majorEastAsia" w:hAnsiTheme="majorEastAsia" w:hint="eastAsia"/>
          <w:sz w:val="24"/>
          <w:szCs w:val="24"/>
        </w:rPr>
        <w:t>主要涉及卸船机自动化系统服务器、网络的安全问题。</w:t>
      </w:r>
    </w:p>
    <w:p w14:paraId="21D4B93C" w14:textId="77777777" w:rsidR="009220F6" w:rsidRDefault="00000000">
      <w:pPr>
        <w:spacing w:beforeLines="50" w:before="156" w:line="360" w:lineRule="auto"/>
        <w:outlineLvl w:val="0"/>
        <w:rPr>
          <w:rFonts w:asciiTheme="minorEastAsia" w:eastAsiaTheme="minorEastAsia" w:hAnsiTheme="minorEastAsia" w:hint="eastAsia"/>
          <w:b/>
          <w:sz w:val="24"/>
          <w:szCs w:val="24"/>
        </w:rPr>
      </w:pPr>
      <w:bookmarkStart w:id="17" w:name="_Toc46098155"/>
      <w:r>
        <w:rPr>
          <w:rFonts w:asciiTheme="minorEastAsia" w:eastAsiaTheme="minorEastAsia" w:hAnsiTheme="minorEastAsia" w:hint="eastAsia"/>
          <w:b/>
          <w:sz w:val="24"/>
          <w:szCs w:val="24"/>
        </w:rPr>
        <w:t>六、</w:t>
      </w:r>
      <w:r>
        <w:rPr>
          <w:rFonts w:asciiTheme="minorEastAsia" w:eastAsiaTheme="minorEastAsia" w:hAnsiTheme="minorEastAsia"/>
          <w:b/>
          <w:sz w:val="24"/>
          <w:szCs w:val="24"/>
        </w:rPr>
        <w:t>重大分歧意见的处理经过和依据</w:t>
      </w:r>
      <w:bookmarkEnd w:id="17"/>
    </w:p>
    <w:p w14:paraId="78D30849" w14:textId="77777777" w:rsidR="009220F6" w:rsidRDefault="00000000">
      <w:pPr>
        <w:spacing w:beforeLines="50" w:before="156" w:line="360" w:lineRule="auto"/>
        <w:ind w:firstLine="420"/>
        <w:rPr>
          <w:sz w:val="24"/>
          <w:szCs w:val="24"/>
        </w:rPr>
      </w:pPr>
      <w:r>
        <w:rPr>
          <w:rFonts w:hint="eastAsia"/>
          <w:sz w:val="24"/>
          <w:szCs w:val="24"/>
        </w:rPr>
        <w:t>无。</w:t>
      </w:r>
    </w:p>
    <w:p w14:paraId="52F1E263" w14:textId="77777777" w:rsidR="009220F6" w:rsidRDefault="00000000">
      <w:pPr>
        <w:spacing w:beforeLines="50" w:before="156" w:line="360" w:lineRule="auto"/>
        <w:outlineLvl w:val="0"/>
        <w:rPr>
          <w:rFonts w:asciiTheme="minorEastAsia" w:eastAsiaTheme="minorEastAsia" w:hAnsiTheme="minorEastAsia" w:hint="eastAsia"/>
          <w:b/>
          <w:sz w:val="24"/>
          <w:szCs w:val="24"/>
        </w:rPr>
      </w:pPr>
      <w:bookmarkStart w:id="18" w:name="_Toc46098156"/>
      <w:r>
        <w:rPr>
          <w:rFonts w:asciiTheme="minorEastAsia" w:eastAsiaTheme="minorEastAsia" w:hAnsiTheme="minorEastAsia" w:hint="eastAsia"/>
          <w:b/>
          <w:sz w:val="24"/>
          <w:szCs w:val="24"/>
        </w:rPr>
        <w:t>七、</w:t>
      </w:r>
      <w:r>
        <w:rPr>
          <w:rFonts w:asciiTheme="minorEastAsia" w:eastAsiaTheme="minorEastAsia" w:hAnsiTheme="minorEastAsia"/>
          <w:b/>
          <w:sz w:val="24"/>
          <w:szCs w:val="24"/>
        </w:rPr>
        <w:t>贯彻标准的要求和措施建议（包括组织措施、技术措施、过渡办法等内容）</w:t>
      </w:r>
      <w:bookmarkEnd w:id="18"/>
    </w:p>
    <w:p w14:paraId="2486D233" w14:textId="77777777" w:rsidR="009220F6" w:rsidRDefault="00000000">
      <w:pPr>
        <w:spacing w:beforeLines="50" w:before="156" w:line="360" w:lineRule="auto"/>
        <w:ind w:firstLine="42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在本标准发布后，开展对本标准的宣传和贯彻的培训，明确卸船机自动化系统构成与配置要求，为卸船机自动化系统构成和配置要求提供建议和指导。</w:t>
      </w:r>
    </w:p>
    <w:p w14:paraId="633AA705" w14:textId="77777777" w:rsidR="009220F6" w:rsidRDefault="00000000">
      <w:pPr>
        <w:spacing w:beforeLines="50" w:before="156" w:line="360" w:lineRule="auto"/>
        <w:outlineLvl w:val="0"/>
        <w:rPr>
          <w:rFonts w:asciiTheme="minorEastAsia" w:eastAsiaTheme="minorEastAsia" w:hAnsiTheme="minorEastAsia" w:hint="eastAsia"/>
          <w:b/>
          <w:sz w:val="24"/>
          <w:szCs w:val="24"/>
        </w:rPr>
      </w:pPr>
      <w:bookmarkStart w:id="19" w:name="_Toc46098157"/>
      <w:r>
        <w:rPr>
          <w:rFonts w:asciiTheme="minorEastAsia" w:eastAsiaTheme="minorEastAsia" w:hAnsiTheme="minorEastAsia" w:hint="eastAsia"/>
          <w:b/>
          <w:sz w:val="24"/>
          <w:szCs w:val="24"/>
        </w:rPr>
        <w:t>八、</w:t>
      </w:r>
      <w:r>
        <w:rPr>
          <w:rFonts w:asciiTheme="minorEastAsia" w:eastAsiaTheme="minorEastAsia" w:hAnsiTheme="minorEastAsia"/>
          <w:b/>
          <w:sz w:val="24"/>
          <w:szCs w:val="24"/>
        </w:rPr>
        <w:t>废止现行有关标准的建议</w:t>
      </w:r>
      <w:bookmarkEnd w:id="19"/>
    </w:p>
    <w:p w14:paraId="5C26695E" w14:textId="77777777" w:rsidR="009220F6" w:rsidRDefault="00000000">
      <w:pPr>
        <w:spacing w:beforeLines="50" w:before="156" w:line="360" w:lineRule="auto"/>
        <w:ind w:firstLineChars="202" w:firstLine="485"/>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无。</w:t>
      </w:r>
    </w:p>
    <w:p w14:paraId="48A53355" w14:textId="77777777" w:rsidR="009220F6" w:rsidRDefault="00000000">
      <w:pPr>
        <w:spacing w:beforeLines="50" w:before="156" w:line="360" w:lineRule="auto"/>
        <w:outlineLvl w:val="0"/>
        <w:rPr>
          <w:rFonts w:asciiTheme="minorEastAsia" w:eastAsiaTheme="minorEastAsia" w:hAnsiTheme="minorEastAsia" w:hint="eastAsia"/>
          <w:b/>
          <w:sz w:val="24"/>
          <w:szCs w:val="24"/>
        </w:rPr>
      </w:pPr>
      <w:bookmarkStart w:id="20" w:name="_Toc46098158"/>
      <w:r>
        <w:rPr>
          <w:rFonts w:asciiTheme="minorEastAsia" w:eastAsiaTheme="minorEastAsia" w:hAnsiTheme="minorEastAsia" w:hint="eastAsia"/>
          <w:b/>
          <w:sz w:val="24"/>
          <w:szCs w:val="24"/>
        </w:rPr>
        <w:t>九、</w:t>
      </w:r>
      <w:r>
        <w:rPr>
          <w:rFonts w:asciiTheme="minorEastAsia" w:eastAsiaTheme="minorEastAsia" w:hAnsiTheme="minorEastAsia"/>
          <w:b/>
          <w:sz w:val="24"/>
          <w:szCs w:val="24"/>
        </w:rPr>
        <w:t>其他应予说明的事项</w:t>
      </w:r>
      <w:bookmarkEnd w:id="20"/>
    </w:p>
    <w:p w14:paraId="04AF2B35" w14:textId="77777777" w:rsidR="009220F6" w:rsidRDefault="00000000">
      <w:pPr>
        <w:spacing w:beforeLines="50" w:before="156"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无。</w:t>
      </w:r>
    </w:p>
    <w:sectPr w:rsidR="009220F6">
      <w:footerReference w:type="default" r:id="rId15"/>
      <w:pgSz w:w="11906" w:h="16838"/>
      <w:pgMar w:top="1588" w:right="1814" w:bottom="1588" w:left="1814"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E8EB0" w14:textId="77777777" w:rsidR="00A77D14" w:rsidRDefault="00A77D14">
      <w:r>
        <w:separator/>
      </w:r>
    </w:p>
  </w:endnote>
  <w:endnote w:type="continuationSeparator" w:id="0">
    <w:p w14:paraId="7422FF50" w14:textId="77777777" w:rsidR="00A77D14" w:rsidRDefault="00A77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5CF9B" w14:textId="77777777" w:rsidR="009220F6" w:rsidRDefault="009220F6">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1979204"/>
    </w:sdtPr>
    <w:sdtContent>
      <w:p w14:paraId="31C37D17" w14:textId="77777777" w:rsidR="009220F6" w:rsidRDefault="00000000">
        <w:pPr>
          <w:pStyle w:val="af1"/>
          <w:jc w:val="center"/>
        </w:pPr>
        <w:r>
          <w:fldChar w:fldCharType="begin"/>
        </w:r>
        <w:r>
          <w:instrText>PAGE   \* MERGEFORMAT</w:instrText>
        </w:r>
        <w:r>
          <w:fldChar w:fldCharType="separate"/>
        </w:r>
        <w:r>
          <w:rPr>
            <w:lang w:val="zh-CN"/>
          </w:rPr>
          <w:t>2</w:t>
        </w:r>
        <w:r>
          <w:fldChar w:fldCharType="end"/>
        </w:r>
      </w:p>
    </w:sdtContent>
  </w:sdt>
  <w:p w14:paraId="33A2BA11" w14:textId="77777777" w:rsidR="009220F6" w:rsidRDefault="009220F6">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80980" w14:textId="77777777" w:rsidR="009220F6" w:rsidRDefault="009220F6">
    <w:pPr>
      <w:pStyle w:val="af1"/>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402111"/>
    </w:sdtPr>
    <w:sdtContent>
      <w:p w14:paraId="252E242C" w14:textId="77777777" w:rsidR="009220F6" w:rsidRDefault="00000000">
        <w:pPr>
          <w:pStyle w:val="af1"/>
          <w:jc w:val="center"/>
        </w:pPr>
        <w:r>
          <w:fldChar w:fldCharType="begin"/>
        </w:r>
        <w:r>
          <w:instrText>PAGE   \* MERGEFORMAT</w:instrText>
        </w:r>
        <w:r>
          <w:fldChar w:fldCharType="separate"/>
        </w:r>
        <w:r>
          <w:rPr>
            <w:lang w:val="zh-CN"/>
          </w:rPr>
          <w:t>3</w:t>
        </w:r>
        <w:r>
          <w:fldChar w:fldCharType="end"/>
        </w:r>
      </w:p>
    </w:sdtContent>
  </w:sdt>
  <w:p w14:paraId="762E6082" w14:textId="77777777" w:rsidR="009220F6" w:rsidRDefault="009220F6">
    <w:pPr>
      <w:pStyle w:val="af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740270"/>
    </w:sdtPr>
    <w:sdtEndPr>
      <w:rPr>
        <w:sz w:val="24"/>
        <w:szCs w:val="24"/>
      </w:rPr>
    </w:sdtEndPr>
    <w:sdtContent>
      <w:p w14:paraId="6B9B68FD" w14:textId="77777777" w:rsidR="009220F6" w:rsidRDefault="00000000">
        <w:pPr>
          <w:pStyle w:val="af1"/>
          <w:jc w:val="center"/>
          <w:rPr>
            <w:sz w:val="24"/>
            <w:szCs w:val="24"/>
          </w:rPr>
        </w:pPr>
        <w:r>
          <w:rPr>
            <w:sz w:val="24"/>
            <w:szCs w:val="24"/>
          </w:rPr>
          <w:fldChar w:fldCharType="begin"/>
        </w:r>
        <w:r>
          <w:rPr>
            <w:sz w:val="24"/>
            <w:szCs w:val="24"/>
          </w:rPr>
          <w:instrText>PAGE   \* MERGEFORMAT</w:instrText>
        </w:r>
        <w:r>
          <w:rPr>
            <w:sz w:val="24"/>
            <w:szCs w:val="24"/>
          </w:rPr>
          <w:fldChar w:fldCharType="separate"/>
        </w:r>
        <w:r>
          <w:rPr>
            <w:sz w:val="24"/>
            <w:szCs w:val="24"/>
            <w:lang w:val="zh-CN"/>
          </w:rPr>
          <w:t>7</w:t>
        </w:r>
        <w:r>
          <w:rPr>
            <w:sz w:val="24"/>
            <w:szCs w:val="24"/>
          </w:rPr>
          <w:fldChar w:fldCharType="end"/>
        </w:r>
      </w:p>
    </w:sdtContent>
  </w:sdt>
  <w:p w14:paraId="4417ABD2" w14:textId="77777777" w:rsidR="009220F6" w:rsidRDefault="009220F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BF9C9" w14:textId="77777777" w:rsidR="00A77D14" w:rsidRDefault="00A77D14">
      <w:r>
        <w:separator/>
      </w:r>
    </w:p>
  </w:footnote>
  <w:footnote w:type="continuationSeparator" w:id="0">
    <w:p w14:paraId="61A8D9CC" w14:textId="77777777" w:rsidR="00A77D14" w:rsidRDefault="00A77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F8BD3" w14:textId="77777777" w:rsidR="009220F6" w:rsidRDefault="009220F6">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023C8" w14:textId="77777777" w:rsidR="009220F6" w:rsidRDefault="009220F6">
    <w:pPr>
      <w:pStyle w:val="af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9E07" w14:textId="77777777" w:rsidR="009220F6" w:rsidRDefault="009220F6">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0474FF"/>
    <w:multiLevelType w:val="singleLevel"/>
    <w:tmpl w:val="C00474FF"/>
    <w:lvl w:ilvl="0">
      <w:start w:val="4"/>
      <w:numFmt w:val="chineseCounting"/>
      <w:suff w:val="nothing"/>
      <w:lvlText w:val="%1、"/>
      <w:lvlJc w:val="left"/>
      <w:rPr>
        <w:rFonts w:hint="eastAsia"/>
      </w:rPr>
    </w:lvl>
  </w:abstractNum>
  <w:abstractNum w:abstractNumId="1" w15:restartNumberingAfterBreak="0">
    <w:nsid w:val="00000007"/>
    <w:multiLevelType w:val="multilevel"/>
    <w:tmpl w:val="00000007"/>
    <w:lvl w:ilvl="0">
      <w:start w:val="1"/>
      <w:numFmt w:val="decimal"/>
      <w:suff w:val="nothing"/>
      <w:lvlText w:val="%1　"/>
      <w:lvlJc w:val="left"/>
      <w:pPr>
        <w:ind w:left="1277"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color w:val="auto"/>
        <w:sz w:val="21"/>
      </w:rPr>
    </w:lvl>
    <w:lvl w:ilvl="4">
      <w:start w:val="1"/>
      <w:numFmt w:val="decimal"/>
      <w:suff w:val="nothing"/>
      <w:lvlText w:val="%1.%2.%3.%4.%5　"/>
      <w:lvlJc w:val="left"/>
      <w:pPr>
        <w:ind w:left="2126"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00000017"/>
    <w:multiLevelType w:val="multilevel"/>
    <w:tmpl w:val="00000017"/>
    <w:lvl w:ilvl="0">
      <w:start w:val="1"/>
      <w:numFmt w:val="lowerLetter"/>
      <w:pStyle w:val="a0"/>
      <w:lvlText w:val="%1)"/>
      <w:lvlJc w:val="left"/>
      <w:pPr>
        <w:tabs>
          <w:tab w:val="left" w:pos="840"/>
        </w:tabs>
        <w:ind w:left="839" w:hanging="419"/>
      </w:pPr>
      <w:rPr>
        <w:rFonts w:ascii="宋体" w:eastAsia="宋体" w:hint="eastAsia"/>
        <w:b w:val="0"/>
        <w:i w:val="0"/>
        <w:sz w:val="21"/>
        <w:szCs w:val="21"/>
      </w:rPr>
    </w:lvl>
    <w:lvl w:ilvl="1">
      <w:start w:val="1"/>
      <w:numFmt w:val="decimal"/>
      <w:pStyle w:val="a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15:restartNumberingAfterBreak="0">
    <w:nsid w:val="03114E1C"/>
    <w:multiLevelType w:val="multilevel"/>
    <w:tmpl w:val="03114E1C"/>
    <w:lvl w:ilvl="0">
      <w:start w:val="1"/>
      <w:numFmt w:val="lowerLetter"/>
      <w:pStyle w:val="a2"/>
      <w:lvlText w:val="%1)"/>
      <w:lvlJc w:val="left"/>
      <w:pPr>
        <w:ind w:left="840" w:hanging="420"/>
      </w:pPr>
      <w:rPr>
        <w:rFonts w:hint="eastAsia"/>
        <w:b w:val="0"/>
        <w:i w:val="0"/>
        <w:sz w:val="20"/>
        <w:szCs w:val="21"/>
      </w:rPr>
    </w:lvl>
    <w:lvl w:ilvl="1">
      <w:start w:val="1"/>
      <w:numFmt w:val="decimal"/>
      <w:pStyle w:val="a3"/>
      <w:lvlText w:val="%2)"/>
      <w:lvlJc w:val="left"/>
      <w:pPr>
        <w:tabs>
          <w:tab w:val="left" w:pos="1259"/>
        </w:tabs>
        <w:ind w:left="1259" w:hanging="420"/>
      </w:pPr>
      <w:rPr>
        <w:rFonts w:ascii="宋体" w:eastAsia="宋体" w:hAnsi="宋体" w:hint="eastAsia"/>
        <w:b w:val="0"/>
        <w:i w:val="0"/>
        <w:sz w:val="20"/>
      </w:rPr>
    </w:lvl>
    <w:lvl w:ilvl="2">
      <w:start w:val="1"/>
      <w:numFmt w:val="decimal"/>
      <w:pStyle w:val="a4"/>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4" w15:restartNumberingAfterBreak="0">
    <w:nsid w:val="21D3588D"/>
    <w:multiLevelType w:val="multilevel"/>
    <w:tmpl w:val="21D358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5"/>
      <w:suff w:val="nothing"/>
      <w:lvlText w:val="%1%2　"/>
      <w:lvlJc w:val="left"/>
      <w:pPr>
        <w:ind w:left="1844" w:firstLine="0"/>
      </w:pPr>
      <w:rPr>
        <w:rFonts w:ascii="黑体" w:eastAsia="黑体" w:hint="eastAsia"/>
        <w:b w:val="0"/>
        <w:i w:val="0"/>
        <w:sz w:val="21"/>
      </w:rPr>
    </w:lvl>
    <w:lvl w:ilvl="2">
      <w:start w:val="1"/>
      <w:numFmt w:val="decimal"/>
      <w:pStyle w:val="a6"/>
      <w:suff w:val="nothing"/>
      <w:lvlText w:val="%1%2.%3　"/>
      <w:lvlJc w:val="left"/>
      <w:pPr>
        <w:ind w:left="7797" w:firstLine="0"/>
      </w:pPr>
      <w:rPr>
        <w:rFonts w:ascii="黑体" w:eastAsia="黑体" w:hAnsi="黑体" w:cs="黑体" w:hint="default"/>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1418"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1560" w:firstLine="0"/>
      </w:pPr>
      <w:rPr>
        <w:rFonts w:ascii="黑体" w:eastAsia="黑体" w:hint="eastAsia"/>
        <w:b w:val="0"/>
        <w:i w:val="0"/>
        <w:sz w:val="21"/>
      </w:rPr>
    </w:lvl>
    <w:lvl w:ilvl="6">
      <w:start w:val="1"/>
      <w:numFmt w:val="decimal"/>
      <w:suff w:val="nothing"/>
      <w:lvlText w:val="%1%2.%3.%4.%5.%6.%7　"/>
      <w:lvlJc w:val="left"/>
      <w:pPr>
        <w:ind w:left="1559"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5498882">
    <w:abstractNumId w:val="1"/>
  </w:num>
  <w:num w:numId="2" w16cid:durableId="210121496">
    <w:abstractNumId w:val="3"/>
  </w:num>
  <w:num w:numId="3" w16cid:durableId="559756352">
    <w:abstractNumId w:val="2"/>
  </w:num>
  <w:num w:numId="4" w16cid:durableId="1825121394">
    <w:abstractNumId w:val="5"/>
  </w:num>
  <w:num w:numId="5" w16cid:durableId="563182801">
    <w:abstractNumId w:val="4"/>
  </w:num>
  <w:num w:numId="6" w16cid:durableId="1495168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D80"/>
    <w:rsid w:val="00000830"/>
    <w:rsid w:val="00002A8A"/>
    <w:rsid w:val="00002B7C"/>
    <w:rsid w:val="000041EB"/>
    <w:rsid w:val="00005EE6"/>
    <w:rsid w:val="00006EF0"/>
    <w:rsid w:val="00022B03"/>
    <w:rsid w:val="0003673B"/>
    <w:rsid w:val="00040A05"/>
    <w:rsid w:val="0004418D"/>
    <w:rsid w:val="0005238E"/>
    <w:rsid w:val="0005677E"/>
    <w:rsid w:val="00056F92"/>
    <w:rsid w:val="00061378"/>
    <w:rsid w:val="00061B94"/>
    <w:rsid w:val="000876B6"/>
    <w:rsid w:val="00093A33"/>
    <w:rsid w:val="000A01D7"/>
    <w:rsid w:val="000A4255"/>
    <w:rsid w:val="000B4D41"/>
    <w:rsid w:val="000C2E76"/>
    <w:rsid w:val="000C4503"/>
    <w:rsid w:val="000C5F7E"/>
    <w:rsid w:val="000C7AA5"/>
    <w:rsid w:val="000D127C"/>
    <w:rsid w:val="000E544E"/>
    <w:rsid w:val="000E76F8"/>
    <w:rsid w:val="000F2224"/>
    <w:rsid w:val="000F2EC1"/>
    <w:rsid w:val="000F6B29"/>
    <w:rsid w:val="00122AB5"/>
    <w:rsid w:val="00127E0C"/>
    <w:rsid w:val="00130430"/>
    <w:rsid w:val="0013290C"/>
    <w:rsid w:val="00133103"/>
    <w:rsid w:val="001379BD"/>
    <w:rsid w:val="0014096F"/>
    <w:rsid w:val="001416C7"/>
    <w:rsid w:val="001426ED"/>
    <w:rsid w:val="001500DC"/>
    <w:rsid w:val="00154EB1"/>
    <w:rsid w:val="00165479"/>
    <w:rsid w:val="00171197"/>
    <w:rsid w:val="0018261D"/>
    <w:rsid w:val="00184A21"/>
    <w:rsid w:val="00185116"/>
    <w:rsid w:val="001936E6"/>
    <w:rsid w:val="001A7EF3"/>
    <w:rsid w:val="001B2FD9"/>
    <w:rsid w:val="001B3A51"/>
    <w:rsid w:val="001D1C90"/>
    <w:rsid w:val="001D1EBF"/>
    <w:rsid w:val="001F1D88"/>
    <w:rsid w:val="001F74B5"/>
    <w:rsid w:val="001F7F7E"/>
    <w:rsid w:val="00210169"/>
    <w:rsid w:val="00211842"/>
    <w:rsid w:val="00211C22"/>
    <w:rsid w:val="00216B64"/>
    <w:rsid w:val="00227923"/>
    <w:rsid w:val="00232611"/>
    <w:rsid w:val="00241115"/>
    <w:rsid w:val="00241FE0"/>
    <w:rsid w:val="0025499B"/>
    <w:rsid w:val="002615E0"/>
    <w:rsid w:val="0026218F"/>
    <w:rsid w:val="002625BA"/>
    <w:rsid w:val="00265CCF"/>
    <w:rsid w:val="00284622"/>
    <w:rsid w:val="00291823"/>
    <w:rsid w:val="00291F76"/>
    <w:rsid w:val="002972BA"/>
    <w:rsid w:val="002A5199"/>
    <w:rsid w:val="002B0B4E"/>
    <w:rsid w:val="002C22C8"/>
    <w:rsid w:val="002C2FF7"/>
    <w:rsid w:val="002D37E7"/>
    <w:rsid w:val="002D7461"/>
    <w:rsid w:val="002E1373"/>
    <w:rsid w:val="002F68AC"/>
    <w:rsid w:val="003020FE"/>
    <w:rsid w:val="0030244D"/>
    <w:rsid w:val="0030763F"/>
    <w:rsid w:val="0031315A"/>
    <w:rsid w:val="00317F8A"/>
    <w:rsid w:val="003235DA"/>
    <w:rsid w:val="00331983"/>
    <w:rsid w:val="00332699"/>
    <w:rsid w:val="00335AFB"/>
    <w:rsid w:val="003457C2"/>
    <w:rsid w:val="00350EAC"/>
    <w:rsid w:val="003544B8"/>
    <w:rsid w:val="0035726D"/>
    <w:rsid w:val="00362971"/>
    <w:rsid w:val="00362C8D"/>
    <w:rsid w:val="00383666"/>
    <w:rsid w:val="003904FF"/>
    <w:rsid w:val="0039181B"/>
    <w:rsid w:val="0039217E"/>
    <w:rsid w:val="003956F7"/>
    <w:rsid w:val="003A1978"/>
    <w:rsid w:val="003A319E"/>
    <w:rsid w:val="003C1B8C"/>
    <w:rsid w:val="003C49F3"/>
    <w:rsid w:val="003D0C8C"/>
    <w:rsid w:val="003D38BE"/>
    <w:rsid w:val="003D41A2"/>
    <w:rsid w:val="003E0742"/>
    <w:rsid w:val="003E2746"/>
    <w:rsid w:val="003E3DEB"/>
    <w:rsid w:val="003E468D"/>
    <w:rsid w:val="003E4E65"/>
    <w:rsid w:val="003E67D3"/>
    <w:rsid w:val="003F356A"/>
    <w:rsid w:val="003F366A"/>
    <w:rsid w:val="00411932"/>
    <w:rsid w:val="00423568"/>
    <w:rsid w:val="00423E79"/>
    <w:rsid w:val="004269C3"/>
    <w:rsid w:val="004318A8"/>
    <w:rsid w:val="0044127E"/>
    <w:rsid w:val="004467BF"/>
    <w:rsid w:val="00447861"/>
    <w:rsid w:val="00453C70"/>
    <w:rsid w:val="00474922"/>
    <w:rsid w:val="004777F0"/>
    <w:rsid w:val="00483FA6"/>
    <w:rsid w:val="00485401"/>
    <w:rsid w:val="00491409"/>
    <w:rsid w:val="0049564C"/>
    <w:rsid w:val="00497192"/>
    <w:rsid w:val="004A0E65"/>
    <w:rsid w:val="004A33C6"/>
    <w:rsid w:val="004A47E5"/>
    <w:rsid w:val="004B1AD9"/>
    <w:rsid w:val="004B6E12"/>
    <w:rsid w:val="004B75D6"/>
    <w:rsid w:val="004C083D"/>
    <w:rsid w:val="004C4F8D"/>
    <w:rsid w:val="004C60ED"/>
    <w:rsid w:val="004D1019"/>
    <w:rsid w:val="004D4A52"/>
    <w:rsid w:val="004E23D1"/>
    <w:rsid w:val="004E5BE2"/>
    <w:rsid w:val="004F18E5"/>
    <w:rsid w:val="00503171"/>
    <w:rsid w:val="005034BC"/>
    <w:rsid w:val="005103DF"/>
    <w:rsid w:val="00513319"/>
    <w:rsid w:val="00522850"/>
    <w:rsid w:val="0052635F"/>
    <w:rsid w:val="00527657"/>
    <w:rsid w:val="00531A37"/>
    <w:rsid w:val="00531DE3"/>
    <w:rsid w:val="00533951"/>
    <w:rsid w:val="005419B4"/>
    <w:rsid w:val="0055366D"/>
    <w:rsid w:val="0055717B"/>
    <w:rsid w:val="005701C3"/>
    <w:rsid w:val="0057164F"/>
    <w:rsid w:val="005732C5"/>
    <w:rsid w:val="0057427B"/>
    <w:rsid w:val="00581B78"/>
    <w:rsid w:val="00581F3B"/>
    <w:rsid w:val="00586905"/>
    <w:rsid w:val="00596FA0"/>
    <w:rsid w:val="005A0690"/>
    <w:rsid w:val="005A1169"/>
    <w:rsid w:val="005C2CB0"/>
    <w:rsid w:val="005C793B"/>
    <w:rsid w:val="00601DEF"/>
    <w:rsid w:val="00602510"/>
    <w:rsid w:val="00610FB3"/>
    <w:rsid w:val="00613F43"/>
    <w:rsid w:val="00614860"/>
    <w:rsid w:val="00617919"/>
    <w:rsid w:val="006222E1"/>
    <w:rsid w:val="006469B0"/>
    <w:rsid w:val="00651BB0"/>
    <w:rsid w:val="006613FB"/>
    <w:rsid w:val="0066225C"/>
    <w:rsid w:val="006634E1"/>
    <w:rsid w:val="006672E7"/>
    <w:rsid w:val="00672A9F"/>
    <w:rsid w:val="00675F68"/>
    <w:rsid w:val="00685107"/>
    <w:rsid w:val="006A4AEF"/>
    <w:rsid w:val="006B4DF1"/>
    <w:rsid w:val="006C0076"/>
    <w:rsid w:val="006D3E3B"/>
    <w:rsid w:val="006D7746"/>
    <w:rsid w:val="006E0C0E"/>
    <w:rsid w:val="006E1CA3"/>
    <w:rsid w:val="006E1DD9"/>
    <w:rsid w:val="006E67C9"/>
    <w:rsid w:val="006E6C0B"/>
    <w:rsid w:val="006E7867"/>
    <w:rsid w:val="006F763E"/>
    <w:rsid w:val="00712890"/>
    <w:rsid w:val="007147BA"/>
    <w:rsid w:val="007165F5"/>
    <w:rsid w:val="00722B78"/>
    <w:rsid w:val="007244EE"/>
    <w:rsid w:val="0073450F"/>
    <w:rsid w:val="00750B77"/>
    <w:rsid w:val="0075309B"/>
    <w:rsid w:val="00753809"/>
    <w:rsid w:val="00763EAB"/>
    <w:rsid w:val="007647CC"/>
    <w:rsid w:val="00764D7C"/>
    <w:rsid w:val="00766C81"/>
    <w:rsid w:val="00771902"/>
    <w:rsid w:val="00773EE8"/>
    <w:rsid w:val="0077470C"/>
    <w:rsid w:val="007749DE"/>
    <w:rsid w:val="00774D80"/>
    <w:rsid w:val="00775629"/>
    <w:rsid w:val="00782ACE"/>
    <w:rsid w:val="00783DD1"/>
    <w:rsid w:val="00785292"/>
    <w:rsid w:val="00785FF9"/>
    <w:rsid w:val="007B231C"/>
    <w:rsid w:val="007C166E"/>
    <w:rsid w:val="007C27FB"/>
    <w:rsid w:val="007D60FA"/>
    <w:rsid w:val="007E705A"/>
    <w:rsid w:val="007F1430"/>
    <w:rsid w:val="007F2782"/>
    <w:rsid w:val="007F738E"/>
    <w:rsid w:val="008107F0"/>
    <w:rsid w:val="00811CF9"/>
    <w:rsid w:val="00816801"/>
    <w:rsid w:val="0082075B"/>
    <w:rsid w:val="00826B05"/>
    <w:rsid w:val="00831EC0"/>
    <w:rsid w:val="00833541"/>
    <w:rsid w:val="0083487D"/>
    <w:rsid w:val="008367A5"/>
    <w:rsid w:val="00846E4E"/>
    <w:rsid w:val="00854D5D"/>
    <w:rsid w:val="00863840"/>
    <w:rsid w:val="00867C42"/>
    <w:rsid w:val="00870187"/>
    <w:rsid w:val="008814BD"/>
    <w:rsid w:val="00881D85"/>
    <w:rsid w:val="008914E3"/>
    <w:rsid w:val="00892F12"/>
    <w:rsid w:val="0089375D"/>
    <w:rsid w:val="008939A3"/>
    <w:rsid w:val="00895394"/>
    <w:rsid w:val="008A14D7"/>
    <w:rsid w:val="008B539F"/>
    <w:rsid w:val="008B5E30"/>
    <w:rsid w:val="008C2ECA"/>
    <w:rsid w:val="008C42BA"/>
    <w:rsid w:val="008D56EC"/>
    <w:rsid w:val="008E1E6D"/>
    <w:rsid w:val="008E4618"/>
    <w:rsid w:val="008E6F9E"/>
    <w:rsid w:val="0090678B"/>
    <w:rsid w:val="00906BF8"/>
    <w:rsid w:val="0091304A"/>
    <w:rsid w:val="00915100"/>
    <w:rsid w:val="00915800"/>
    <w:rsid w:val="00917108"/>
    <w:rsid w:val="009220F6"/>
    <w:rsid w:val="00925151"/>
    <w:rsid w:val="00933AF0"/>
    <w:rsid w:val="009343B7"/>
    <w:rsid w:val="009352CC"/>
    <w:rsid w:val="009413AD"/>
    <w:rsid w:val="00941C5C"/>
    <w:rsid w:val="00942E15"/>
    <w:rsid w:val="00951F8B"/>
    <w:rsid w:val="009725D0"/>
    <w:rsid w:val="009751C9"/>
    <w:rsid w:val="00980E45"/>
    <w:rsid w:val="009A3C51"/>
    <w:rsid w:val="009A79E2"/>
    <w:rsid w:val="009B0566"/>
    <w:rsid w:val="009B3825"/>
    <w:rsid w:val="009D73A6"/>
    <w:rsid w:val="009F14B6"/>
    <w:rsid w:val="009F4B50"/>
    <w:rsid w:val="009F68D8"/>
    <w:rsid w:val="00A02D67"/>
    <w:rsid w:val="00A04DA5"/>
    <w:rsid w:val="00A135C4"/>
    <w:rsid w:val="00A15CFB"/>
    <w:rsid w:val="00A15D5A"/>
    <w:rsid w:val="00A20FFA"/>
    <w:rsid w:val="00A21F07"/>
    <w:rsid w:val="00A2386C"/>
    <w:rsid w:val="00A25117"/>
    <w:rsid w:val="00A25278"/>
    <w:rsid w:val="00A32AC6"/>
    <w:rsid w:val="00A3418E"/>
    <w:rsid w:val="00A3569B"/>
    <w:rsid w:val="00A40C68"/>
    <w:rsid w:val="00A41D46"/>
    <w:rsid w:val="00A428EE"/>
    <w:rsid w:val="00A50EFB"/>
    <w:rsid w:val="00A544ED"/>
    <w:rsid w:val="00A6739A"/>
    <w:rsid w:val="00A72F26"/>
    <w:rsid w:val="00A73587"/>
    <w:rsid w:val="00A75124"/>
    <w:rsid w:val="00A77D14"/>
    <w:rsid w:val="00A82559"/>
    <w:rsid w:val="00A8305A"/>
    <w:rsid w:val="00A834AA"/>
    <w:rsid w:val="00A952DE"/>
    <w:rsid w:val="00AA000E"/>
    <w:rsid w:val="00AA7101"/>
    <w:rsid w:val="00AB4B79"/>
    <w:rsid w:val="00AB698A"/>
    <w:rsid w:val="00AD5020"/>
    <w:rsid w:val="00AE3903"/>
    <w:rsid w:val="00AE4BEA"/>
    <w:rsid w:val="00AF1732"/>
    <w:rsid w:val="00AF39DC"/>
    <w:rsid w:val="00B0289B"/>
    <w:rsid w:val="00B04D4A"/>
    <w:rsid w:val="00B10F76"/>
    <w:rsid w:val="00B16BC2"/>
    <w:rsid w:val="00B2115A"/>
    <w:rsid w:val="00B328C9"/>
    <w:rsid w:val="00B60CA8"/>
    <w:rsid w:val="00B61DE6"/>
    <w:rsid w:val="00B62EFD"/>
    <w:rsid w:val="00B64CAE"/>
    <w:rsid w:val="00B67AFA"/>
    <w:rsid w:val="00B70E7E"/>
    <w:rsid w:val="00B75107"/>
    <w:rsid w:val="00B77B76"/>
    <w:rsid w:val="00B8201E"/>
    <w:rsid w:val="00B91A4E"/>
    <w:rsid w:val="00B97BF7"/>
    <w:rsid w:val="00BA7CD3"/>
    <w:rsid w:val="00BC346B"/>
    <w:rsid w:val="00BC4D1B"/>
    <w:rsid w:val="00BD31D3"/>
    <w:rsid w:val="00BF1B4B"/>
    <w:rsid w:val="00BF1D15"/>
    <w:rsid w:val="00C04636"/>
    <w:rsid w:val="00C06C7D"/>
    <w:rsid w:val="00C076AF"/>
    <w:rsid w:val="00C122F4"/>
    <w:rsid w:val="00C12A08"/>
    <w:rsid w:val="00C178A4"/>
    <w:rsid w:val="00C22DC8"/>
    <w:rsid w:val="00C35DDE"/>
    <w:rsid w:val="00C4218B"/>
    <w:rsid w:val="00C4552B"/>
    <w:rsid w:val="00C51076"/>
    <w:rsid w:val="00C515E5"/>
    <w:rsid w:val="00C52F1B"/>
    <w:rsid w:val="00C54E66"/>
    <w:rsid w:val="00C55974"/>
    <w:rsid w:val="00C56D82"/>
    <w:rsid w:val="00C60E9A"/>
    <w:rsid w:val="00C64365"/>
    <w:rsid w:val="00C743BF"/>
    <w:rsid w:val="00C74772"/>
    <w:rsid w:val="00C75EE2"/>
    <w:rsid w:val="00C80ECD"/>
    <w:rsid w:val="00C84E64"/>
    <w:rsid w:val="00C97DCC"/>
    <w:rsid w:val="00CA1209"/>
    <w:rsid w:val="00CB086E"/>
    <w:rsid w:val="00CB624B"/>
    <w:rsid w:val="00CB76AF"/>
    <w:rsid w:val="00CC50FC"/>
    <w:rsid w:val="00CC7E91"/>
    <w:rsid w:val="00CD3CD3"/>
    <w:rsid w:val="00CE2184"/>
    <w:rsid w:val="00CE4BDD"/>
    <w:rsid w:val="00CE6973"/>
    <w:rsid w:val="00CF4BEA"/>
    <w:rsid w:val="00D04CDE"/>
    <w:rsid w:val="00D11D0F"/>
    <w:rsid w:val="00D22500"/>
    <w:rsid w:val="00D27C20"/>
    <w:rsid w:val="00D3282A"/>
    <w:rsid w:val="00D45BF9"/>
    <w:rsid w:val="00D65397"/>
    <w:rsid w:val="00D71230"/>
    <w:rsid w:val="00D80291"/>
    <w:rsid w:val="00D8035A"/>
    <w:rsid w:val="00D813A2"/>
    <w:rsid w:val="00D83D3B"/>
    <w:rsid w:val="00D858DD"/>
    <w:rsid w:val="00D87115"/>
    <w:rsid w:val="00D9754A"/>
    <w:rsid w:val="00D97839"/>
    <w:rsid w:val="00DA6562"/>
    <w:rsid w:val="00DB2423"/>
    <w:rsid w:val="00DC2909"/>
    <w:rsid w:val="00DC3934"/>
    <w:rsid w:val="00DC5664"/>
    <w:rsid w:val="00DC70AD"/>
    <w:rsid w:val="00DD2063"/>
    <w:rsid w:val="00DD7B38"/>
    <w:rsid w:val="00DE2F1D"/>
    <w:rsid w:val="00DE3D7E"/>
    <w:rsid w:val="00DE597C"/>
    <w:rsid w:val="00DF19F3"/>
    <w:rsid w:val="00DF625C"/>
    <w:rsid w:val="00DF6B88"/>
    <w:rsid w:val="00E0009D"/>
    <w:rsid w:val="00E04A1F"/>
    <w:rsid w:val="00E1061A"/>
    <w:rsid w:val="00E13578"/>
    <w:rsid w:val="00E13E25"/>
    <w:rsid w:val="00E20429"/>
    <w:rsid w:val="00E306DD"/>
    <w:rsid w:val="00E33B00"/>
    <w:rsid w:val="00E3708C"/>
    <w:rsid w:val="00E423C3"/>
    <w:rsid w:val="00E56311"/>
    <w:rsid w:val="00E81A7A"/>
    <w:rsid w:val="00E831EA"/>
    <w:rsid w:val="00E901AF"/>
    <w:rsid w:val="00E92873"/>
    <w:rsid w:val="00E953B9"/>
    <w:rsid w:val="00E968A9"/>
    <w:rsid w:val="00E96949"/>
    <w:rsid w:val="00E96F8E"/>
    <w:rsid w:val="00EA2AD0"/>
    <w:rsid w:val="00EA3493"/>
    <w:rsid w:val="00EB422A"/>
    <w:rsid w:val="00EB4E63"/>
    <w:rsid w:val="00EB6F21"/>
    <w:rsid w:val="00EC0862"/>
    <w:rsid w:val="00EC1E69"/>
    <w:rsid w:val="00ED2DA5"/>
    <w:rsid w:val="00ED4A22"/>
    <w:rsid w:val="00ED65EB"/>
    <w:rsid w:val="00ED6D60"/>
    <w:rsid w:val="00ED7616"/>
    <w:rsid w:val="00EE2638"/>
    <w:rsid w:val="00EF5034"/>
    <w:rsid w:val="00F028A9"/>
    <w:rsid w:val="00F02FAE"/>
    <w:rsid w:val="00F15686"/>
    <w:rsid w:val="00F326B1"/>
    <w:rsid w:val="00F34D0A"/>
    <w:rsid w:val="00F463B2"/>
    <w:rsid w:val="00F46D57"/>
    <w:rsid w:val="00F50060"/>
    <w:rsid w:val="00F52EEE"/>
    <w:rsid w:val="00F55585"/>
    <w:rsid w:val="00F6373F"/>
    <w:rsid w:val="00F6446A"/>
    <w:rsid w:val="00F6504F"/>
    <w:rsid w:val="00F74158"/>
    <w:rsid w:val="00FA45B6"/>
    <w:rsid w:val="00FA7B2E"/>
    <w:rsid w:val="00FC01B1"/>
    <w:rsid w:val="00FC1720"/>
    <w:rsid w:val="00FD16BC"/>
    <w:rsid w:val="00FD17BC"/>
    <w:rsid w:val="00FF332B"/>
    <w:rsid w:val="01233A9E"/>
    <w:rsid w:val="01A82395"/>
    <w:rsid w:val="01B14C06"/>
    <w:rsid w:val="028B4E8E"/>
    <w:rsid w:val="0299231A"/>
    <w:rsid w:val="02A042EA"/>
    <w:rsid w:val="02A97EFB"/>
    <w:rsid w:val="02DA23DE"/>
    <w:rsid w:val="03027479"/>
    <w:rsid w:val="04102749"/>
    <w:rsid w:val="04135C90"/>
    <w:rsid w:val="04365896"/>
    <w:rsid w:val="04D05CEB"/>
    <w:rsid w:val="055659D1"/>
    <w:rsid w:val="05653712"/>
    <w:rsid w:val="059B00A7"/>
    <w:rsid w:val="05B253F0"/>
    <w:rsid w:val="063B53E6"/>
    <w:rsid w:val="067032E2"/>
    <w:rsid w:val="0727166F"/>
    <w:rsid w:val="07342867"/>
    <w:rsid w:val="073A744C"/>
    <w:rsid w:val="075E79A7"/>
    <w:rsid w:val="08AA6F7F"/>
    <w:rsid w:val="08CE42EF"/>
    <w:rsid w:val="08D22D7A"/>
    <w:rsid w:val="08EE6740"/>
    <w:rsid w:val="09CD5EB9"/>
    <w:rsid w:val="09CD6A00"/>
    <w:rsid w:val="09DA5642"/>
    <w:rsid w:val="0A4C2352"/>
    <w:rsid w:val="0AD81455"/>
    <w:rsid w:val="0B3B6745"/>
    <w:rsid w:val="0B6E5911"/>
    <w:rsid w:val="0B73117E"/>
    <w:rsid w:val="0BC20E34"/>
    <w:rsid w:val="0C3A5027"/>
    <w:rsid w:val="0D3A07FB"/>
    <w:rsid w:val="0D5D3E94"/>
    <w:rsid w:val="0D6671EC"/>
    <w:rsid w:val="0D872DD2"/>
    <w:rsid w:val="0EBD6B10"/>
    <w:rsid w:val="10611EED"/>
    <w:rsid w:val="106D2640"/>
    <w:rsid w:val="108616C4"/>
    <w:rsid w:val="110C1E59"/>
    <w:rsid w:val="112117BF"/>
    <w:rsid w:val="11360C84"/>
    <w:rsid w:val="117A5014"/>
    <w:rsid w:val="12333415"/>
    <w:rsid w:val="123A29F6"/>
    <w:rsid w:val="12D94892"/>
    <w:rsid w:val="130C3B50"/>
    <w:rsid w:val="134F7FF7"/>
    <w:rsid w:val="135605B0"/>
    <w:rsid w:val="13566748"/>
    <w:rsid w:val="137347D0"/>
    <w:rsid w:val="13B85B5B"/>
    <w:rsid w:val="13DF1AA7"/>
    <w:rsid w:val="13E26EA1"/>
    <w:rsid w:val="14926B19"/>
    <w:rsid w:val="14B720DC"/>
    <w:rsid w:val="153876C0"/>
    <w:rsid w:val="159B7C4F"/>
    <w:rsid w:val="15EA64E1"/>
    <w:rsid w:val="15F34B7A"/>
    <w:rsid w:val="15F4486A"/>
    <w:rsid w:val="15F621B4"/>
    <w:rsid w:val="168E50BE"/>
    <w:rsid w:val="17083041"/>
    <w:rsid w:val="171750B3"/>
    <w:rsid w:val="173E0892"/>
    <w:rsid w:val="17F47FC2"/>
    <w:rsid w:val="18567E5D"/>
    <w:rsid w:val="18636D79"/>
    <w:rsid w:val="189270E7"/>
    <w:rsid w:val="18F962EE"/>
    <w:rsid w:val="193E726F"/>
    <w:rsid w:val="19E219A9"/>
    <w:rsid w:val="19EC0A79"/>
    <w:rsid w:val="1A181851"/>
    <w:rsid w:val="1A41503C"/>
    <w:rsid w:val="1A5A3C35"/>
    <w:rsid w:val="1A8A3DEE"/>
    <w:rsid w:val="1AB01AA7"/>
    <w:rsid w:val="1B46240B"/>
    <w:rsid w:val="1B79353B"/>
    <w:rsid w:val="1BB47375"/>
    <w:rsid w:val="1BC11A92"/>
    <w:rsid w:val="1C9373BD"/>
    <w:rsid w:val="1CB6711D"/>
    <w:rsid w:val="1CDA65CD"/>
    <w:rsid w:val="1ED63AA6"/>
    <w:rsid w:val="1F6C4E89"/>
    <w:rsid w:val="1F6E3CDF"/>
    <w:rsid w:val="1FE41266"/>
    <w:rsid w:val="200C3C23"/>
    <w:rsid w:val="20421A6C"/>
    <w:rsid w:val="20857532"/>
    <w:rsid w:val="20EC4AAB"/>
    <w:rsid w:val="211F4451"/>
    <w:rsid w:val="21ED538F"/>
    <w:rsid w:val="22A3394E"/>
    <w:rsid w:val="22FB6A2A"/>
    <w:rsid w:val="237A70F6"/>
    <w:rsid w:val="238166D6"/>
    <w:rsid w:val="24107A5A"/>
    <w:rsid w:val="24267906"/>
    <w:rsid w:val="242B7863"/>
    <w:rsid w:val="24965554"/>
    <w:rsid w:val="24AC112C"/>
    <w:rsid w:val="24AD003F"/>
    <w:rsid w:val="250052AB"/>
    <w:rsid w:val="251175E6"/>
    <w:rsid w:val="25B753DF"/>
    <w:rsid w:val="260E3B25"/>
    <w:rsid w:val="26B00701"/>
    <w:rsid w:val="275F557D"/>
    <w:rsid w:val="27A47F88"/>
    <w:rsid w:val="292E56A2"/>
    <w:rsid w:val="2937181C"/>
    <w:rsid w:val="29567CBD"/>
    <w:rsid w:val="29915199"/>
    <w:rsid w:val="29CD1DD2"/>
    <w:rsid w:val="29CE021D"/>
    <w:rsid w:val="2A5F0DF4"/>
    <w:rsid w:val="2A64640A"/>
    <w:rsid w:val="2A9E34CC"/>
    <w:rsid w:val="2AD82BCD"/>
    <w:rsid w:val="2B4324C3"/>
    <w:rsid w:val="2BBD4024"/>
    <w:rsid w:val="2C3D33B6"/>
    <w:rsid w:val="2C673F8F"/>
    <w:rsid w:val="2D083727"/>
    <w:rsid w:val="2E1B3283"/>
    <w:rsid w:val="2EB2313F"/>
    <w:rsid w:val="2EBA3D06"/>
    <w:rsid w:val="2EC71AB4"/>
    <w:rsid w:val="2EE1627B"/>
    <w:rsid w:val="2F562A39"/>
    <w:rsid w:val="308570DA"/>
    <w:rsid w:val="30B637BB"/>
    <w:rsid w:val="31540F86"/>
    <w:rsid w:val="31DC0F7C"/>
    <w:rsid w:val="31FC0B8B"/>
    <w:rsid w:val="324B62A6"/>
    <w:rsid w:val="32535608"/>
    <w:rsid w:val="32E91BA2"/>
    <w:rsid w:val="32F86420"/>
    <w:rsid w:val="330000EB"/>
    <w:rsid w:val="33263C60"/>
    <w:rsid w:val="334039A9"/>
    <w:rsid w:val="33436869"/>
    <w:rsid w:val="334D3EDF"/>
    <w:rsid w:val="33606A4D"/>
    <w:rsid w:val="34244726"/>
    <w:rsid w:val="342A7568"/>
    <w:rsid w:val="34433534"/>
    <w:rsid w:val="345A1F52"/>
    <w:rsid w:val="34A507E2"/>
    <w:rsid w:val="350B22A4"/>
    <w:rsid w:val="354F3741"/>
    <w:rsid w:val="36047377"/>
    <w:rsid w:val="361A4768"/>
    <w:rsid w:val="363168C2"/>
    <w:rsid w:val="366E2AEA"/>
    <w:rsid w:val="36794FEB"/>
    <w:rsid w:val="36F6465C"/>
    <w:rsid w:val="3788716A"/>
    <w:rsid w:val="37DE77FC"/>
    <w:rsid w:val="391F38BA"/>
    <w:rsid w:val="3967248F"/>
    <w:rsid w:val="39766595"/>
    <w:rsid w:val="39DF3CFF"/>
    <w:rsid w:val="3A571AE7"/>
    <w:rsid w:val="3A830B2E"/>
    <w:rsid w:val="3A9B7C26"/>
    <w:rsid w:val="3AF47336"/>
    <w:rsid w:val="3B2220F5"/>
    <w:rsid w:val="3B295232"/>
    <w:rsid w:val="3B2C087E"/>
    <w:rsid w:val="3C17152E"/>
    <w:rsid w:val="3CD1523B"/>
    <w:rsid w:val="3CD45671"/>
    <w:rsid w:val="3CDF48A0"/>
    <w:rsid w:val="3D442B60"/>
    <w:rsid w:val="3E244AB8"/>
    <w:rsid w:val="3E5F71BC"/>
    <w:rsid w:val="3E6247FC"/>
    <w:rsid w:val="3E8B1D5F"/>
    <w:rsid w:val="3F1A12F7"/>
    <w:rsid w:val="3F7A4FF9"/>
    <w:rsid w:val="3F7E3672"/>
    <w:rsid w:val="3FC82E6A"/>
    <w:rsid w:val="40AE7F87"/>
    <w:rsid w:val="41AF045B"/>
    <w:rsid w:val="42091919"/>
    <w:rsid w:val="42114C71"/>
    <w:rsid w:val="43544E16"/>
    <w:rsid w:val="442944F4"/>
    <w:rsid w:val="44444E8A"/>
    <w:rsid w:val="44D22496"/>
    <w:rsid w:val="44F114C2"/>
    <w:rsid w:val="458D5B36"/>
    <w:rsid w:val="46024FFD"/>
    <w:rsid w:val="47121270"/>
    <w:rsid w:val="481E3C65"/>
    <w:rsid w:val="483A0DD5"/>
    <w:rsid w:val="48724482"/>
    <w:rsid w:val="48B60321"/>
    <w:rsid w:val="48BF2D31"/>
    <w:rsid w:val="48D72771"/>
    <w:rsid w:val="493A5D30"/>
    <w:rsid w:val="497A75A0"/>
    <w:rsid w:val="4A2C364D"/>
    <w:rsid w:val="4A53075D"/>
    <w:rsid w:val="4A730AA2"/>
    <w:rsid w:val="4A7E09CA"/>
    <w:rsid w:val="4AAF1765"/>
    <w:rsid w:val="4BC87158"/>
    <w:rsid w:val="4BE807F1"/>
    <w:rsid w:val="4C312198"/>
    <w:rsid w:val="4CBD6B8C"/>
    <w:rsid w:val="4D3E6505"/>
    <w:rsid w:val="4DD604CD"/>
    <w:rsid w:val="4EA36C51"/>
    <w:rsid w:val="4EBD5F8A"/>
    <w:rsid w:val="4EC01F05"/>
    <w:rsid w:val="4F824AB9"/>
    <w:rsid w:val="4F965890"/>
    <w:rsid w:val="50EE4AFC"/>
    <w:rsid w:val="51063CEB"/>
    <w:rsid w:val="51303345"/>
    <w:rsid w:val="51D75590"/>
    <w:rsid w:val="52271947"/>
    <w:rsid w:val="52E57838"/>
    <w:rsid w:val="534E7AD3"/>
    <w:rsid w:val="53682217"/>
    <w:rsid w:val="53D37FD9"/>
    <w:rsid w:val="550A24B1"/>
    <w:rsid w:val="555F4498"/>
    <w:rsid w:val="563665FD"/>
    <w:rsid w:val="572378F3"/>
    <w:rsid w:val="57336A1B"/>
    <w:rsid w:val="579E445A"/>
    <w:rsid w:val="57E72ADF"/>
    <w:rsid w:val="58076362"/>
    <w:rsid w:val="583F5C3D"/>
    <w:rsid w:val="58B57CAD"/>
    <w:rsid w:val="59034EBC"/>
    <w:rsid w:val="59282484"/>
    <w:rsid w:val="592D018B"/>
    <w:rsid w:val="59407EBE"/>
    <w:rsid w:val="59650A9B"/>
    <w:rsid w:val="5A0233C6"/>
    <w:rsid w:val="5A7C4F26"/>
    <w:rsid w:val="5B9D6F1A"/>
    <w:rsid w:val="5BBE3B1E"/>
    <w:rsid w:val="5C6914DA"/>
    <w:rsid w:val="5CB339BC"/>
    <w:rsid w:val="5CE32707"/>
    <w:rsid w:val="5CE42A7D"/>
    <w:rsid w:val="5D1B452E"/>
    <w:rsid w:val="5D26561D"/>
    <w:rsid w:val="5D291EC2"/>
    <w:rsid w:val="5D2C42B6"/>
    <w:rsid w:val="5E062073"/>
    <w:rsid w:val="5E317DD6"/>
    <w:rsid w:val="5ED3379D"/>
    <w:rsid w:val="5F6B25EC"/>
    <w:rsid w:val="601F1ED2"/>
    <w:rsid w:val="603A78C8"/>
    <w:rsid w:val="6126670A"/>
    <w:rsid w:val="61853EF8"/>
    <w:rsid w:val="61905496"/>
    <w:rsid w:val="619276D7"/>
    <w:rsid w:val="619C7C5C"/>
    <w:rsid w:val="61CB0541"/>
    <w:rsid w:val="623F1255"/>
    <w:rsid w:val="631657EC"/>
    <w:rsid w:val="63D538F9"/>
    <w:rsid w:val="6478689B"/>
    <w:rsid w:val="64C73242"/>
    <w:rsid w:val="653463FD"/>
    <w:rsid w:val="654E3963"/>
    <w:rsid w:val="6555790E"/>
    <w:rsid w:val="655D3BA6"/>
    <w:rsid w:val="65B35574"/>
    <w:rsid w:val="664D6600"/>
    <w:rsid w:val="66550D8A"/>
    <w:rsid w:val="6690702A"/>
    <w:rsid w:val="66AF21DF"/>
    <w:rsid w:val="672146AE"/>
    <w:rsid w:val="67BE3F30"/>
    <w:rsid w:val="67F65BEC"/>
    <w:rsid w:val="68532558"/>
    <w:rsid w:val="68752FB5"/>
    <w:rsid w:val="693027FB"/>
    <w:rsid w:val="69C903C5"/>
    <w:rsid w:val="6A164324"/>
    <w:rsid w:val="6A934D67"/>
    <w:rsid w:val="6B142C57"/>
    <w:rsid w:val="6B260787"/>
    <w:rsid w:val="6B32518D"/>
    <w:rsid w:val="6B685053"/>
    <w:rsid w:val="6C64581A"/>
    <w:rsid w:val="6C6B6BA9"/>
    <w:rsid w:val="6DB35745"/>
    <w:rsid w:val="6EE7202C"/>
    <w:rsid w:val="6F235519"/>
    <w:rsid w:val="6FD1766A"/>
    <w:rsid w:val="7003534A"/>
    <w:rsid w:val="70452660"/>
    <w:rsid w:val="704705DD"/>
    <w:rsid w:val="708727AC"/>
    <w:rsid w:val="708C533F"/>
    <w:rsid w:val="70952F7A"/>
    <w:rsid w:val="70D84816"/>
    <w:rsid w:val="70DA3647"/>
    <w:rsid w:val="712D55CE"/>
    <w:rsid w:val="71374018"/>
    <w:rsid w:val="721A0713"/>
    <w:rsid w:val="728B29F8"/>
    <w:rsid w:val="72BE40C8"/>
    <w:rsid w:val="732C4748"/>
    <w:rsid w:val="73C31078"/>
    <w:rsid w:val="73D30636"/>
    <w:rsid w:val="74704884"/>
    <w:rsid w:val="74A23383"/>
    <w:rsid w:val="74AE6B0D"/>
    <w:rsid w:val="75C31803"/>
    <w:rsid w:val="761E4C8C"/>
    <w:rsid w:val="7625426C"/>
    <w:rsid w:val="764B3AB5"/>
    <w:rsid w:val="764E245D"/>
    <w:rsid w:val="76F0071D"/>
    <w:rsid w:val="77140320"/>
    <w:rsid w:val="771542E1"/>
    <w:rsid w:val="772207AC"/>
    <w:rsid w:val="774921DC"/>
    <w:rsid w:val="775D17E4"/>
    <w:rsid w:val="776E5551"/>
    <w:rsid w:val="77E9150B"/>
    <w:rsid w:val="78BC253A"/>
    <w:rsid w:val="7931117A"/>
    <w:rsid w:val="793B423A"/>
    <w:rsid w:val="79572781"/>
    <w:rsid w:val="79D00993"/>
    <w:rsid w:val="79FE287A"/>
    <w:rsid w:val="7A0225B3"/>
    <w:rsid w:val="7A456C8B"/>
    <w:rsid w:val="7A4D5B40"/>
    <w:rsid w:val="7B1735AE"/>
    <w:rsid w:val="7B7B048A"/>
    <w:rsid w:val="7BD806A4"/>
    <w:rsid w:val="7BFF2E69"/>
    <w:rsid w:val="7C4A1FD6"/>
    <w:rsid w:val="7CF65256"/>
    <w:rsid w:val="7D124E1E"/>
    <w:rsid w:val="7DEC33C4"/>
    <w:rsid w:val="7E244B2B"/>
    <w:rsid w:val="7EBC6DC8"/>
    <w:rsid w:val="7EEB5AA4"/>
    <w:rsid w:val="7F514320"/>
    <w:rsid w:val="7F8B7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72AE8"/>
  <w15:docId w15:val="{7C4088A6-BA8B-4A33-877B-5505D2722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pPr>
      <w:widowControl w:val="0"/>
      <w:jc w:val="both"/>
    </w:pPr>
    <w:rPr>
      <w:kern w:val="2"/>
      <w:sz w:val="21"/>
    </w:rPr>
  </w:style>
  <w:style w:type="paragraph" w:styleId="1">
    <w:name w:val="heading 1"/>
    <w:basedOn w:val="a7"/>
    <w:next w:val="a7"/>
    <w:link w:val="10"/>
    <w:uiPriority w:val="9"/>
    <w:qFormat/>
    <w:pPr>
      <w:keepNext/>
      <w:keepLines/>
      <w:spacing w:before="340" w:after="330" w:line="578" w:lineRule="auto"/>
      <w:outlineLvl w:val="0"/>
    </w:pPr>
    <w:rPr>
      <w:b/>
      <w:bCs/>
      <w:kern w:val="44"/>
      <w:sz w:val="44"/>
      <w:szCs w:val="44"/>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TOC7">
    <w:name w:val="toc 7"/>
    <w:basedOn w:val="a7"/>
    <w:next w:val="a7"/>
    <w:uiPriority w:val="39"/>
    <w:semiHidden/>
    <w:unhideWhenUsed/>
    <w:qFormat/>
    <w:pPr>
      <w:ind w:left="1260"/>
      <w:jc w:val="left"/>
    </w:pPr>
    <w:rPr>
      <w:rFonts w:asciiTheme="minorHAnsi" w:hAnsiTheme="minorHAnsi"/>
      <w:sz w:val="18"/>
      <w:szCs w:val="18"/>
    </w:rPr>
  </w:style>
  <w:style w:type="paragraph" w:styleId="ab">
    <w:name w:val="annotation text"/>
    <w:basedOn w:val="a7"/>
    <w:link w:val="ac"/>
    <w:qFormat/>
    <w:pPr>
      <w:adjustRightInd w:val="0"/>
      <w:spacing w:line="360" w:lineRule="atLeast"/>
      <w:jc w:val="left"/>
      <w:textAlignment w:val="baseline"/>
    </w:pPr>
    <w:rPr>
      <w:kern w:val="0"/>
      <w:sz w:val="28"/>
    </w:rPr>
  </w:style>
  <w:style w:type="paragraph" w:styleId="ad">
    <w:name w:val="Body Text Indent"/>
    <w:basedOn w:val="a7"/>
    <w:link w:val="ae"/>
    <w:qFormat/>
    <w:pPr>
      <w:adjustRightInd w:val="0"/>
      <w:spacing w:line="360" w:lineRule="auto"/>
      <w:ind w:firstLine="420"/>
      <w:jc w:val="left"/>
      <w:textAlignment w:val="baseline"/>
    </w:pPr>
    <w:rPr>
      <w:kern w:val="0"/>
    </w:rPr>
  </w:style>
  <w:style w:type="paragraph" w:styleId="TOC5">
    <w:name w:val="toc 5"/>
    <w:basedOn w:val="a7"/>
    <w:next w:val="a7"/>
    <w:uiPriority w:val="39"/>
    <w:semiHidden/>
    <w:unhideWhenUsed/>
    <w:qFormat/>
    <w:pPr>
      <w:ind w:left="840"/>
      <w:jc w:val="left"/>
    </w:pPr>
    <w:rPr>
      <w:rFonts w:asciiTheme="minorHAnsi" w:hAnsiTheme="minorHAnsi"/>
      <w:sz w:val="18"/>
      <w:szCs w:val="18"/>
    </w:rPr>
  </w:style>
  <w:style w:type="paragraph" w:styleId="TOC3">
    <w:name w:val="toc 3"/>
    <w:basedOn w:val="a7"/>
    <w:next w:val="a7"/>
    <w:uiPriority w:val="39"/>
    <w:semiHidden/>
    <w:unhideWhenUsed/>
    <w:qFormat/>
    <w:pPr>
      <w:ind w:left="420"/>
      <w:jc w:val="left"/>
    </w:pPr>
    <w:rPr>
      <w:rFonts w:asciiTheme="minorHAnsi" w:hAnsiTheme="minorHAnsi"/>
      <w:i/>
      <w:iCs/>
      <w:sz w:val="20"/>
    </w:rPr>
  </w:style>
  <w:style w:type="paragraph" w:styleId="TOC8">
    <w:name w:val="toc 8"/>
    <w:basedOn w:val="a7"/>
    <w:next w:val="a7"/>
    <w:uiPriority w:val="39"/>
    <w:semiHidden/>
    <w:unhideWhenUsed/>
    <w:qFormat/>
    <w:pPr>
      <w:ind w:left="1470"/>
      <w:jc w:val="left"/>
    </w:pPr>
    <w:rPr>
      <w:rFonts w:asciiTheme="minorHAnsi" w:hAnsiTheme="minorHAnsi"/>
      <w:sz w:val="18"/>
      <w:szCs w:val="18"/>
    </w:rPr>
  </w:style>
  <w:style w:type="paragraph" w:styleId="af">
    <w:name w:val="Balloon Text"/>
    <w:basedOn w:val="a7"/>
    <w:link w:val="af0"/>
    <w:uiPriority w:val="99"/>
    <w:semiHidden/>
    <w:unhideWhenUsed/>
    <w:qFormat/>
    <w:rPr>
      <w:sz w:val="18"/>
      <w:szCs w:val="18"/>
    </w:rPr>
  </w:style>
  <w:style w:type="paragraph" w:styleId="af1">
    <w:name w:val="footer"/>
    <w:basedOn w:val="a7"/>
    <w:link w:val="af2"/>
    <w:uiPriority w:val="99"/>
    <w:unhideWhenUsed/>
    <w:qFormat/>
    <w:pPr>
      <w:tabs>
        <w:tab w:val="center" w:pos="4153"/>
        <w:tab w:val="right" w:pos="8306"/>
      </w:tabs>
      <w:snapToGrid w:val="0"/>
      <w:jc w:val="left"/>
    </w:pPr>
    <w:rPr>
      <w:sz w:val="18"/>
      <w:szCs w:val="18"/>
    </w:rPr>
  </w:style>
  <w:style w:type="paragraph" w:styleId="af3">
    <w:name w:val="header"/>
    <w:basedOn w:val="a7"/>
    <w:link w:val="af4"/>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7"/>
    <w:next w:val="a7"/>
    <w:uiPriority w:val="39"/>
    <w:qFormat/>
    <w:pPr>
      <w:spacing w:before="120" w:after="120"/>
      <w:jc w:val="left"/>
    </w:pPr>
    <w:rPr>
      <w:rFonts w:asciiTheme="minorHAnsi" w:hAnsiTheme="minorHAnsi"/>
      <w:b/>
      <w:bCs/>
      <w:caps/>
      <w:sz w:val="20"/>
    </w:rPr>
  </w:style>
  <w:style w:type="paragraph" w:styleId="TOC4">
    <w:name w:val="toc 4"/>
    <w:basedOn w:val="a7"/>
    <w:next w:val="a7"/>
    <w:uiPriority w:val="39"/>
    <w:semiHidden/>
    <w:unhideWhenUsed/>
    <w:qFormat/>
    <w:pPr>
      <w:ind w:left="630"/>
      <w:jc w:val="left"/>
    </w:pPr>
    <w:rPr>
      <w:rFonts w:asciiTheme="minorHAnsi" w:hAnsiTheme="minorHAnsi"/>
      <w:sz w:val="18"/>
      <w:szCs w:val="18"/>
    </w:rPr>
  </w:style>
  <w:style w:type="paragraph" w:styleId="TOC6">
    <w:name w:val="toc 6"/>
    <w:basedOn w:val="a7"/>
    <w:next w:val="a7"/>
    <w:uiPriority w:val="39"/>
    <w:semiHidden/>
    <w:unhideWhenUsed/>
    <w:qFormat/>
    <w:pPr>
      <w:ind w:left="1050"/>
      <w:jc w:val="left"/>
    </w:pPr>
    <w:rPr>
      <w:rFonts w:asciiTheme="minorHAnsi" w:hAnsiTheme="minorHAnsi"/>
      <w:sz w:val="18"/>
      <w:szCs w:val="18"/>
    </w:rPr>
  </w:style>
  <w:style w:type="paragraph" w:styleId="TOC2">
    <w:name w:val="toc 2"/>
    <w:basedOn w:val="a7"/>
    <w:next w:val="a7"/>
    <w:uiPriority w:val="39"/>
    <w:qFormat/>
    <w:pPr>
      <w:ind w:left="210"/>
      <w:jc w:val="left"/>
    </w:pPr>
    <w:rPr>
      <w:rFonts w:asciiTheme="minorHAnsi" w:hAnsiTheme="minorHAnsi"/>
      <w:smallCaps/>
      <w:sz w:val="20"/>
    </w:rPr>
  </w:style>
  <w:style w:type="paragraph" w:styleId="TOC9">
    <w:name w:val="toc 9"/>
    <w:basedOn w:val="a7"/>
    <w:next w:val="a7"/>
    <w:uiPriority w:val="39"/>
    <w:semiHidden/>
    <w:unhideWhenUsed/>
    <w:qFormat/>
    <w:pPr>
      <w:ind w:left="1680"/>
      <w:jc w:val="left"/>
    </w:pPr>
    <w:rPr>
      <w:rFonts w:asciiTheme="minorHAnsi" w:hAnsiTheme="minorHAnsi"/>
      <w:sz w:val="18"/>
      <w:szCs w:val="18"/>
    </w:rPr>
  </w:style>
  <w:style w:type="paragraph" w:styleId="af5">
    <w:name w:val="Normal (Web)"/>
    <w:basedOn w:val="a7"/>
    <w:uiPriority w:val="99"/>
    <w:semiHidden/>
    <w:unhideWhenUsed/>
    <w:qFormat/>
    <w:pPr>
      <w:spacing w:beforeAutospacing="1" w:afterAutospacing="1"/>
      <w:jc w:val="left"/>
    </w:pPr>
    <w:rPr>
      <w:kern w:val="0"/>
      <w:sz w:val="24"/>
    </w:rPr>
  </w:style>
  <w:style w:type="paragraph" w:styleId="af6">
    <w:name w:val="annotation subject"/>
    <w:basedOn w:val="ab"/>
    <w:next w:val="ab"/>
    <w:link w:val="af7"/>
    <w:uiPriority w:val="99"/>
    <w:semiHidden/>
    <w:unhideWhenUsed/>
    <w:qFormat/>
    <w:pPr>
      <w:adjustRightInd/>
      <w:spacing w:line="240" w:lineRule="auto"/>
      <w:textAlignment w:val="auto"/>
    </w:pPr>
    <w:rPr>
      <w:b/>
      <w:bCs/>
      <w:kern w:val="2"/>
      <w:sz w:val="21"/>
    </w:rPr>
  </w:style>
  <w:style w:type="character" w:styleId="af8">
    <w:name w:val="Hyperlink"/>
    <w:uiPriority w:val="99"/>
    <w:qFormat/>
    <w:rPr>
      <w:color w:val="0000FF"/>
      <w:u w:val="single"/>
    </w:rPr>
  </w:style>
  <w:style w:type="character" w:styleId="af9">
    <w:name w:val="annotation reference"/>
    <w:qFormat/>
    <w:rPr>
      <w:sz w:val="21"/>
      <w:szCs w:val="21"/>
    </w:rPr>
  </w:style>
  <w:style w:type="paragraph" w:styleId="afa">
    <w:name w:val="List Paragraph"/>
    <w:basedOn w:val="a7"/>
    <w:uiPriority w:val="34"/>
    <w:qFormat/>
    <w:pPr>
      <w:ind w:firstLineChars="200" w:firstLine="420"/>
    </w:pPr>
  </w:style>
  <w:style w:type="character" w:customStyle="1" w:styleId="af4">
    <w:name w:val="页眉 字符"/>
    <w:basedOn w:val="a8"/>
    <w:link w:val="af3"/>
    <w:uiPriority w:val="99"/>
    <w:qFormat/>
    <w:rPr>
      <w:rFonts w:ascii="Times New Roman" w:eastAsia="宋体" w:hAnsi="Times New Roman" w:cs="Times New Roman"/>
      <w:sz w:val="18"/>
      <w:szCs w:val="18"/>
    </w:rPr>
  </w:style>
  <w:style w:type="character" w:customStyle="1" w:styleId="af2">
    <w:name w:val="页脚 字符"/>
    <w:basedOn w:val="a8"/>
    <w:link w:val="af1"/>
    <w:uiPriority w:val="99"/>
    <w:qFormat/>
    <w:rPr>
      <w:rFonts w:ascii="Times New Roman" w:eastAsia="宋体" w:hAnsi="Times New Roman" w:cs="Times New Roman"/>
      <w:sz w:val="18"/>
      <w:szCs w:val="18"/>
    </w:rPr>
  </w:style>
  <w:style w:type="character" w:customStyle="1" w:styleId="af0">
    <w:name w:val="批注框文本 字符"/>
    <w:basedOn w:val="a8"/>
    <w:link w:val="af"/>
    <w:uiPriority w:val="99"/>
    <w:semiHidden/>
    <w:qFormat/>
    <w:rPr>
      <w:rFonts w:ascii="Times New Roman" w:eastAsia="宋体" w:hAnsi="Times New Roman" w:cs="Times New Roman"/>
      <w:sz w:val="18"/>
      <w:szCs w:val="18"/>
    </w:rPr>
  </w:style>
  <w:style w:type="character" w:customStyle="1" w:styleId="Char">
    <w:name w:val="批注文字 Char"/>
    <w:basedOn w:val="a8"/>
    <w:uiPriority w:val="99"/>
    <w:semiHidden/>
    <w:qFormat/>
    <w:rPr>
      <w:rFonts w:ascii="Times New Roman" w:eastAsia="宋体" w:hAnsi="Times New Roman" w:cs="Times New Roman"/>
      <w:szCs w:val="20"/>
    </w:rPr>
  </w:style>
  <w:style w:type="character" w:customStyle="1" w:styleId="ac">
    <w:name w:val="批注文字 字符"/>
    <w:link w:val="ab"/>
    <w:qFormat/>
    <w:rPr>
      <w:rFonts w:ascii="Times New Roman" w:eastAsia="宋体" w:hAnsi="Times New Roman" w:cs="Times New Roman"/>
      <w:kern w:val="0"/>
      <w:sz w:val="28"/>
      <w:szCs w:val="20"/>
    </w:rPr>
  </w:style>
  <w:style w:type="character" w:customStyle="1" w:styleId="ae">
    <w:name w:val="正文文本缩进 字符"/>
    <w:basedOn w:val="a8"/>
    <w:link w:val="ad"/>
    <w:qFormat/>
    <w:rPr>
      <w:rFonts w:ascii="Times New Roman" w:eastAsia="宋体" w:hAnsi="Times New Roman" w:cs="Times New Roman"/>
      <w:kern w:val="0"/>
      <w:szCs w:val="20"/>
    </w:rPr>
  </w:style>
  <w:style w:type="character" w:customStyle="1" w:styleId="10">
    <w:name w:val="标题 1 字符"/>
    <w:basedOn w:val="a8"/>
    <w:link w:val="1"/>
    <w:uiPriority w:val="9"/>
    <w:qFormat/>
    <w:rPr>
      <w:rFonts w:ascii="Times New Roman" w:eastAsia="宋体" w:hAnsi="Times New Roman" w:cs="Times New Roman"/>
      <w:b/>
      <w:bCs/>
      <w:kern w:val="44"/>
      <w:sz w:val="44"/>
      <w:szCs w:val="44"/>
    </w:rPr>
  </w:style>
  <w:style w:type="paragraph" w:customStyle="1" w:styleId="TOC10">
    <w:name w:val="TOC 标题1"/>
    <w:basedOn w:val="1"/>
    <w:next w:val="a7"/>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afb">
    <w:name w:val="表格"/>
    <w:basedOn w:val="a7"/>
    <w:qFormat/>
    <w:pPr>
      <w:adjustRightInd w:val="0"/>
      <w:snapToGrid w:val="0"/>
      <w:spacing w:after="60" w:line="400" w:lineRule="atLeast"/>
      <w:jc w:val="center"/>
      <w:textAlignment w:val="center"/>
    </w:pPr>
    <w:rPr>
      <w:kern w:val="0"/>
    </w:rPr>
  </w:style>
  <w:style w:type="paragraph" w:customStyle="1" w:styleId="afc">
    <w:name w:val="一级条标题"/>
    <w:next w:val="a7"/>
    <w:qFormat/>
    <w:pPr>
      <w:spacing w:beforeLines="50" w:afterLines="50"/>
      <w:outlineLvl w:val="2"/>
    </w:pPr>
    <w:rPr>
      <w:rFonts w:ascii="黑体" w:eastAsia="黑体"/>
      <w:sz w:val="21"/>
      <w:szCs w:val="21"/>
    </w:rPr>
  </w:style>
  <w:style w:type="paragraph" w:customStyle="1" w:styleId="a">
    <w:name w:val="二级条标题"/>
    <w:basedOn w:val="afc"/>
    <w:next w:val="a7"/>
    <w:qFormat/>
    <w:pPr>
      <w:numPr>
        <w:ilvl w:val="2"/>
        <w:numId w:val="1"/>
      </w:numPr>
      <w:spacing w:before="50" w:after="50"/>
      <w:outlineLvl w:val="3"/>
    </w:pPr>
    <w:rPr>
      <w:rFonts w:ascii="Times New Roman" w:eastAsia="宋体"/>
    </w:rPr>
  </w:style>
  <w:style w:type="paragraph" w:customStyle="1" w:styleId="a3">
    <w:name w:val="三级条标题"/>
    <w:basedOn w:val="a"/>
    <w:next w:val="a7"/>
    <w:qFormat/>
    <w:pPr>
      <w:numPr>
        <w:ilvl w:val="1"/>
        <w:numId w:val="2"/>
      </w:numPr>
      <w:outlineLvl w:val="4"/>
    </w:pPr>
  </w:style>
  <w:style w:type="paragraph" w:customStyle="1" w:styleId="a2">
    <w:name w:val="列项——（一级）"/>
    <w:qFormat/>
    <w:pPr>
      <w:widowControl w:val="0"/>
      <w:numPr>
        <w:numId w:val="2"/>
      </w:numPr>
      <w:jc w:val="both"/>
    </w:pPr>
    <w:rPr>
      <w:rFonts w:ascii="宋体"/>
      <w:sz w:val="21"/>
    </w:rPr>
  </w:style>
  <w:style w:type="paragraph" w:customStyle="1" w:styleId="a4">
    <w:name w:val="列项◆（三级）"/>
    <w:basedOn w:val="a7"/>
    <w:qFormat/>
    <w:pPr>
      <w:widowControl/>
      <w:numPr>
        <w:ilvl w:val="2"/>
        <w:numId w:val="2"/>
      </w:numPr>
      <w:jc w:val="left"/>
    </w:pPr>
    <w:rPr>
      <w:rFonts w:ascii="宋体"/>
      <w:kern w:val="0"/>
      <w:sz w:val="24"/>
      <w:szCs w:val="21"/>
    </w:rPr>
  </w:style>
  <w:style w:type="paragraph" w:customStyle="1" w:styleId="a0">
    <w:name w:val="字母编号列项（一级）"/>
    <w:qFormat/>
    <w:pPr>
      <w:numPr>
        <w:numId w:val="3"/>
      </w:numPr>
      <w:jc w:val="both"/>
    </w:pPr>
    <w:rPr>
      <w:rFonts w:ascii="宋体"/>
      <w:sz w:val="21"/>
    </w:rPr>
  </w:style>
  <w:style w:type="paragraph" w:customStyle="1" w:styleId="a1">
    <w:name w:val="数字编号列项（二级）"/>
    <w:qFormat/>
    <w:pPr>
      <w:numPr>
        <w:ilvl w:val="1"/>
        <w:numId w:val="3"/>
      </w:numPr>
      <w:jc w:val="both"/>
    </w:pPr>
    <w:rPr>
      <w:rFonts w:ascii="宋体"/>
      <w:sz w:val="21"/>
    </w:rPr>
  </w:style>
  <w:style w:type="character" w:customStyle="1" w:styleId="x3e4">
    <w:name w:val="x3e4"/>
    <w:basedOn w:val="a8"/>
    <w:qFormat/>
    <w:rPr>
      <w:color w:val="FFFFCC"/>
    </w:rPr>
  </w:style>
  <w:style w:type="character" w:customStyle="1" w:styleId="poradisabled4">
    <w:name w:val="p_oradisabled4"/>
    <w:basedOn w:val="a8"/>
    <w:qFormat/>
    <w:rPr>
      <w:color w:val="FFFFCC"/>
    </w:rPr>
  </w:style>
  <w:style w:type="character" w:customStyle="1" w:styleId="oralinkdisabled2">
    <w:name w:val="oralinkdisabled2"/>
    <w:basedOn w:val="a8"/>
    <w:qFormat/>
  </w:style>
  <w:style w:type="character" w:customStyle="1" w:styleId="xi3">
    <w:name w:val="xi3"/>
    <w:basedOn w:val="a8"/>
    <w:qFormat/>
  </w:style>
  <w:style w:type="character" w:customStyle="1" w:styleId="af7">
    <w:name w:val="批注主题 字符"/>
    <w:basedOn w:val="ac"/>
    <w:link w:val="af6"/>
    <w:uiPriority w:val="99"/>
    <w:semiHidden/>
    <w:qFormat/>
    <w:rPr>
      <w:rFonts w:ascii="Times New Roman" w:eastAsia="宋体" w:hAnsi="Times New Roman" w:cs="Times New Roman"/>
      <w:b/>
      <w:bCs/>
      <w:kern w:val="2"/>
      <w:sz w:val="21"/>
      <w:szCs w:val="20"/>
    </w:rPr>
  </w:style>
  <w:style w:type="paragraph" w:customStyle="1" w:styleId="11">
    <w:name w:val="修订1"/>
    <w:hidden/>
    <w:uiPriority w:val="99"/>
    <w:semiHidden/>
    <w:qFormat/>
    <w:rPr>
      <w:kern w:val="2"/>
      <w:sz w:val="21"/>
    </w:rPr>
  </w:style>
  <w:style w:type="paragraph" w:customStyle="1" w:styleId="afd">
    <w:name w:val="标准文件_段"/>
    <w:qFormat/>
    <w:pPr>
      <w:autoSpaceDE w:val="0"/>
      <w:autoSpaceDN w:val="0"/>
      <w:ind w:firstLineChars="200" w:firstLine="200"/>
      <w:jc w:val="both"/>
    </w:pPr>
    <w:rPr>
      <w:rFonts w:ascii="宋体"/>
      <w:sz w:val="21"/>
    </w:rPr>
  </w:style>
  <w:style w:type="paragraph" w:customStyle="1" w:styleId="afe">
    <w:name w:val="表格文字"/>
    <w:basedOn w:val="a7"/>
    <w:qFormat/>
    <w:pPr>
      <w:widowControl/>
      <w:spacing w:before="25" w:after="25"/>
    </w:pPr>
    <w:rPr>
      <w:rFonts w:ascii="Times" w:hAnsi="Times"/>
      <w:bCs/>
      <w:spacing w:val="10"/>
      <w:sz w:val="24"/>
    </w:rPr>
  </w:style>
  <w:style w:type="paragraph" w:customStyle="1" w:styleId="a6">
    <w:name w:val="标准文件_一级条标题"/>
    <w:basedOn w:val="a5"/>
    <w:next w:val="afd"/>
    <w:qFormat/>
    <w:pPr>
      <w:numPr>
        <w:ilvl w:val="2"/>
      </w:numPr>
      <w:spacing w:beforeLines="50" w:before="50" w:afterLines="50" w:after="50"/>
      <w:ind w:left="0"/>
      <w:outlineLvl w:val="1"/>
    </w:pPr>
    <w:rPr>
      <w:rFonts w:eastAsia="宋体" w:hAnsi="黑体"/>
    </w:rPr>
  </w:style>
  <w:style w:type="paragraph" w:customStyle="1" w:styleId="a5">
    <w:name w:val="标准文件_章标题"/>
    <w:next w:val="afd"/>
    <w:qFormat/>
    <w:pPr>
      <w:numPr>
        <w:ilvl w:val="1"/>
        <w:numId w:val="4"/>
      </w:numPr>
      <w:spacing w:beforeLines="100" w:before="100" w:afterLines="100" w:after="100"/>
      <w:ind w:left="0"/>
      <w:jc w:val="both"/>
      <w:outlineLvl w:val="0"/>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DB6F800-7FF7-43E9-B008-B8A8FC34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1392</Words>
  <Characters>7939</Characters>
  <Application>Microsoft Office Word</Application>
  <DocSecurity>0</DocSecurity>
  <Lines>66</Lines>
  <Paragraphs>18</Paragraphs>
  <ScaleCrop>false</ScaleCrop>
  <Company>Microsoft</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蕾 张</cp:lastModifiedBy>
  <cp:revision>3</cp:revision>
  <dcterms:created xsi:type="dcterms:W3CDTF">2026-02-09T07:02:00Z</dcterms:created>
  <dcterms:modified xsi:type="dcterms:W3CDTF">2026-02-09T07:06:00Z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eyJoZGlkIjoiZDZhZWQ3ZDllYjAwYTQwNjg4NzdmZGE0YmNiN2MzMWUiLCJ1c2VySWQiOiI1MDg2MDQ5NTMifQ==</vt:lpwstr>
  </property>
  <property fmtid="{D5CDD505-2E9C-101B-9397-08002B2CF9AE}" pid="4" name="ICV">
    <vt:lpwstr>B3DC4E71DF9944F7BDC041C703CB53BB_13</vt:lpwstr>
  </property>
</Properties>
</file>