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7CC0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5E8C6F3">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E254B71">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09290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A62DB79">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6F8A5E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D8A8AB8">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1C01B92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0526DBE1">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中国港口协会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3ECE00F5">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0079604">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E12D73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3D748EC">
      <w:pPr>
        <w:pStyle w:val="50"/>
        <w:framePr w:w="9639" w:h="6976" w:hRule="exact" w:hSpace="0" w:vSpace="0" w:wrap="around" w:hAnchor="page" w:y="6408"/>
        <w:jc w:val="center"/>
        <w:rPr>
          <w:rFonts w:hint="eastAsia" w:ascii="黑体" w:hAnsi="黑体" w:eastAsia="黑体"/>
          <w:b w:val="0"/>
          <w:bCs w:val="0"/>
          <w:w w:val="100"/>
        </w:rPr>
      </w:pPr>
    </w:p>
    <w:p w14:paraId="25157B73">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转换平台式集装箱技术要求</w:t>
      </w:r>
      <w:r>
        <w:fldChar w:fldCharType="end"/>
      </w:r>
      <w:bookmarkEnd w:id="9"/>
    </w:p>
    <w:p w14:paraId="442DAC0A">
      <w:pPr>
        <w:framePr w:w="9639" w:h="6974" w:hRule="exact" w:wrap="around" w:vAnchor="page" w:hAnchor="page" w:x="1419" w:y="6408" w:anchorLock="1"/>
        <w:ind w:left="-1418"/>
      </w:pPr>
    </w:p>
    <w:p w14:paraId="272DDD7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rPr>
        <w:t>r</w:t>
      </w:r>
      <w:r>
        <w:rPr>
          <w:rFonts w:eastAsia="黑体"/>
          <w:szCs w:val="28"/>
        </w:rPr>
        <w:t xml:space="preserve">equirements for transfer </w:t>
      </w:r>
      <w:r>
        <w:rPr>
          <w:rFonts w:hint="eastAsia" w:eastAsia="黑体"/>
          <w:szCs w:val="28"/>
        </w:rPr>
        <w:t>p</w:t>
      </w:r>
      <w:r>
        <w:rPr>
          <w:rFonts w:eastAsia="黑体"/>
          <w:szCs w:val="28"/>
        </w:rPr>
        <w:t xml:space="preserve">latform </w:t>
      </w:r>
      <w:r>
        <w:rPr>
          <w:rFonts w:hint="eastAsia" w:eastAsia="黑体"/>
          <w:szCs w:val="28"/>
        </w:rPr>
        <w:t>c</w:t>
      </w:r>
      <w:r>
        <w:rPr>
          <w:rFonts w:eastAsia="黑体"/>
          <w:szCs w:val="28"/>
        </w:rPr>
        <w:t>ontainer</w:t>
      </w:r>
      <w:r>
        <w:rPr>
          <w:rFonts w:eastAsia="黑体"/>
          <w:szCs w:val="28"/>
        </w:rPr>
        <w:fldChar w:fldCharType="end"/>
      </w:r>
      <w:bookmarkEnd w:id="10"/>
    </w:p>
    <w:p w14:paraId="2596E6CB">
      <w:pPr>
        <w:framePr w:w="9639" w:h="6974" w:hRule="exact" w:wrap="around" w:vAnchor="page" w:hAnchor="page" w:x="1419" w:y="6408" w:anchorLock="1"/>
        <w:spacing w:line="760" w:lineRule="exact"/>
        <w:ind w:left="-1418"/>
      </w:pPr>
    </w:p>
    <w:p w14:paraId="2920C02E">
      <w:pPr>
        <w:pStyle w:val="125"/>
        <w:framePr w:w="9639" w:h="6974" w:hRule="exact" w:wrap="around" w:vAnchor="page" w:hAnchor="page" w:x="1419" w:y="6408" w:anchorLock="1"/>
        <w:textAlignment w:val="bottom"/>
        <w:rPr>
          <w:rFonts w:eastAsia="黑体"/>
          <w:szCs w:val="28"/>
        </w:rPr>
      </w:pPr>
    </w:p>
    <w:p w14:paraId="687974A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67D49F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F8B690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248819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2A04E1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AE129E4">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中国港口协会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B10F6A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2535D03">
      <w:pPr>
        <w:pStyle w:val="91"/>
        <w:spacing w:after="360"/>
      </w:pPr>
      <w:bookmarkStart w:id="21" w:name="BookMark1"/>
      <w:r>
        <w:rPr>
          <w:rFonts w:hint="eastAsia"/>
          <w:spacing w:val="320"/>
        </w:rPr>
        <w:t>目</w:t>
      </w:r>
      <w:r>
        <w:rPr>
          <w:rFonts w:hint="eastAsia"/>
        </w:rPr>
        <w:t>次</w:t>
      </w:r>
    </w:p>
    <w:p w14:paraId="0FCB2E2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w:instrText>
      </w:r>
      <w:r>
        <w:rPr>
          <w:rFonts w:hint="eastAsia"/>
        </w:rPr>
        <w:instrText xml:space="preserve">TOC \o "1-1" \h</w:instrText>
      </w:r>
      <w:r>
        <w:instrText xml:space="preserve"> </w:instrText>
      </w:r>
      <w:r>
        <w:fldChar w:fldCharType="separate"/>
      </w:r>
      <w:r>
        <w:fldChar w:fldCharType="begin"/>
      </w:r>
      <w:r>
        <w:instrText xml:space="preserve"> HYPERLINK \l "_Toc233641731" </w:instrText>
      </w:r>
      <w:r>
        <w:fldChar w:fldCharType="separate"/>
      </w:r>
      <w:r>
        <w:rPr>
          <w:rStyle w:val="32"/>
          <w:spacing w:val="320"/>
        </w:rPr>
        <w:t>前</w:t>
      </w:r>
      <w:r>
        <w:rPr>
          <w:rStyle w:val="32"/>
        </w:rPr>
        <w:t>言</w:t>
      </w:r>
      <w:r>
        <w:rPr>
          <w:rFonts w:hint="eastAsia"/>
        </w:rPr>
        <w:tab/>
      </w:r>
      <w:r>
        <w:rPr>
          <w:rFonts w:hint="eastAsia"/>
        </w:rPr>
        <w:fldChar w:fldCharType="begin"/>
      </w:r>
      <w:r>
        <w:rPr>
          <w:rFonts w:hint="eastAsia"/>
        </w:rPr>
        <w:instrText xml:space="preserve"> </w:instrText>
      </w:r>
      <w:r>
        <w:instrText xml:space="preserve">PAGEREF _Toc233641731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00B5BE8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"_Toc233641732"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_Toc233641732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75ACAE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"_Toc233641733"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_Toc233641733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1280BC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"_Toc233641734"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_Toc233641734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858347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"_Toc233641735" </w:instrText>
      </w:r>
      <w:r>
        <w:fldChar w:fldCharType="separate"/>
      </w:r>
      <w:r>
        <w:rPr>
          <w:rStyle w:val="32"/>
        </w:rPr>
        <w:t>4 结构</w:t>
      </w:r>
      <w:r>
        <w:rPr>
          <w:rFonts w:hint="eastAsia"/>
        </w:rPr>
        <w:tab/>
      </w:r>
      <w:r>
        <w:rPr>
          <w:rFonts w:hint="eastAsia"/>
        </w:rPr>
        <w:fldChar w:fldCharType="begin"/>
      </w:r>
      <w:r>
        <w:rPr>
          <w:rFonts w:hint="eastAsia"/>
        </w:rPr>
        <w:instrText xml:space="preserve"> </w:instrText>
      </w:r>
      <w:r>
        <w:instrText xml:space="preserve">PAGEREF _Toc233641735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AE0D5E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"_Toc233641736" </w:instrText>
      </w:r>
      <w:r>
        <w:fldChar w:fldCharType="separate"/>
      </w:r>
      <w:r>
        <w:rPr>
          <w:rStyle w:val="32"/>
        </w:rPr>
        <w:t>5 通用要求</w:t>
      </w:r>
      <w:r>
        <w:rPr>
          <w:rFonts w:hint="eastAsia"/>
        </w:rPr>
        <w:tab/>
      </w:r>
      <w:r>
        <w:rPr>
          <w:rFonts w:hint="eastAsia"/>
        </w:rPr>
        <w:fldChar w:fldCharType="begin"/>
      </w:r>
      <w:r>
        <w:rPr>
          <w:rFonts w:hint="eastAsia"/>
        </w:rPr>
        <w:instrText xml:space="preserve"> </w:instrText>
      </w:r>
      <w:r>
        <w:instrText xml:space="preserve">PAGEREF _Toc233641736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E79D1C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"_Toc233641737" </w:instrText>
      </w:r>
      <w:r>
        <w:fldChar w:fldCharType="separate"/>
      </w:r>
      <w:r>
        <w:rPr>
          <w:rStyle w:val="32"/>
        </w:rPr>
        <w:t>6 性能</w:t>
      </w:r>
      <w:r>
        <w:rPr>
          <w:rFonts w:hint="eastAsia"/>
        </w:rPr>
        <w:tab/>
      </w:r>
      <w:r>
        <w:rPr>
          <w:rFonts w:hint="eastAsia"/>
        </w:rPr>
        <w:fldChar w:fldCharType="begin"/>
      </w:r>
      <w:r>
        <w:rPr>
          <w:rFonts w:hint="eastAsia"/>
        </w:rPr>
        <w:instrText xml:space="preserve"> </w:instrText>
      </w:r>
      <w:r>
        <w:instrText xml:space="preserve">PAGEREF _Toc233641737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270E21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"_Toc233641738" </w:instrText>
      </w:r>
      <w:r>
        <w:fldChar w:fldCharType="separate"/>
      </w:r>
      <w:r>
        <w:rPr>
          <w:rStyle w:val="32"/>
        </w:rPr>
        <w:t>7 尺寸与公差</w:t>
      </w:r>
      <w:r>
        <w:rPr>
          <w:rFonts w:hint="eastAsia"/>
        </w:rPr>
        <w:tab/>
      </w:r>
      <w:r>
        <w:rPr>
          <w:rFonts w:hint="eastAsia"/>
        </w:rPr>
        <w:fldChar w:fldCharType="begin"/>
      </w:r>
      <w:r>
        <w:rPr>
          <w:rFonts w:hint="eastAsia"/>
        </w:rPr>
        <w:instrText xml:space="preserve"> </w:instrText>
      </w:r>
      <w:r>
        <w:instrText xml:space="preserve">PAGEREF _Toc233641738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F9E1AF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"_Toc233641739" </w:instrText>
      </w:r>
      <w:r>
        <w:fldChar w:fldCharType="separate"/>
      </w:r>
      <w:r>
        <w:rPr>
          <w:rStyle w:val="32"/>
        </w:rPr>
        <w:t>8 零部件</w:t>
      </w:r>
      <w:r>
        <w:rPr>
          <w:rFonts w:hint="eastAsia"/>
        </w:rPr>
        <w:tab/>
      </w:r>
      <w:r>
        <w:rPr>
          <w:rFonts w:hint="eastAsia"/>
        </w:rPr>
        <w:fldChar w:fldCharType="begin"/>
      </w:r>
      <w:r>
        <w:rPr>
          <w:rFonts w:hint="eastAsia"/>
        </w:rPr>
        <w:instrText xml:space="preserve"> </w:instrText>
      </w:r>
      <w:r>
        <w:instrText xml:space="preserve">PAGEREF _Toc233641739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F7D5FA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"_Toc233641740" </w:instrText>
      </w:r>
      <w:r>
        <w:fldChar w:fldCharType="separate"/>
      </w:r>
      <w:r>
        <w:rPr>
          <w:rStyle w:val="32"/>
        </w:rPr>
        <w:t>9 焊接与无损检测</w:t>
      </w:r>
      <w:r>
        <w:rPr>
          <w:rFonts w:hint="eastAsia"/>
        </w:rPr>
        <w:tab/>
      </w:r>
      <w:r>
        <w:rPr>
          <w:rFonts w:hint="eastAsia"/>
        </w:rPr>
        <w:fldChar w:fldCharType="begin"/>
      </w:r>
      <w:r>
        <w:rPr>
          <w:rFonts w:hint="eastAsia"/>
        </w:rPr>
        <w:instrText xml:space="preserve"> </w:instrText>
      </w:r>
      <w:r>
        <w:instrText xml:space="preserve">PAGEREF _Toc233641740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7CC80E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"_Toc233641741" </w:instrText>
      </w:r>
      <w:r>
        <w:fldChar w:fldCharType="separate"/>
      </w:r>
      <w:r>
        <w:rPr>
          <w:rStyle w:val="32"/>
        </w:rPr>
        <w:t>10 涂装</w:t>
      </w:r>
      <w:r>
        <w:rPr>
          <w:rFonts w:hint="eastAsia"/>
        </w:rPr>
        <w:tab/>
      </w:r>
      <w:r>
        <w:rPr>
          <w:rFonts w:hint="eastAsia"/>
        </w:rPr>
        <w:fldChar w:fldCharType="begin"/>
      </w:r>
      <w:r>
        <w:rPr>
          <w:rFonts w:hint="eastAsia"/>
        </w:rPr>
        <w:instrText xml:space="preserve"> </w:instrText>
      </w:r>
      <w:r>
        <w:instrText xml:space="preserve">PAGEREF _Toc233641741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B7A374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"_Toc233641742" </w:instrText>
      </w:r>
      <w:r>
        <w:fldChar w:fldCharType="separate"/>
      </w:r>
      <w:r>
        <w:rPr>
          <w:rStyle w:val="32"/>
          <w:spacing w:val="100"/>
        </w:rPr>
        <w:t>附录A</w:t>
      </w:r>
      <w:r>
        <w:rPr>
          <w:rStyle w:val="32"/>
        </w:rPr>
        <w:t xml:space="preserve"> （资料性） 转换平台式集装箱的结构和组合示例</w:t>
      </w:r>
      <w:r>
        <w:rPr>
          <w:rFonts w:hint="eastAsia"/>
        </w:rPr>
        <w:tab/>
      </w:r>
      <w:r>
        <w:rPr>
          <w:rFonts w:hint="eastAsia"/>
        </w:rPr>
        <w:fldChar w:fldCharType="begin"/>
      </w:r>
      <w:r>
        <w:rPr>
          <w:rFonts w:hint="eastAsia"/>
        </w:rPr>
        <w:instrText xml:space="preserve"> </w:instrText>
      </w:r>
      <w:r>
        <w:instrText xml:space="preserve">PAGEREF _Toc233641742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AA8318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"_Toc233641743" </w:instrText>
      </w:r>
      <w:r>
        <w:fldChar w:fldCharType="separate"/>
      </w:r>
      <w:r>
        <w:rPr>
          <w:rStyle w:val="32"/>
          <w:spacing w:val="100"/>
        </w:rPr>
        <w:t>附录B</w:t>
      </w:r>
      <w:r>
        <w:rPr>
          <w:rStyle w:val="32"/>
        </w:rPr>
        <w:t xml:space="preserve"> （资料性） 转换平台式集装箱的试验方法</w:t>
      </w:r>
      <w:r>
        <w:rPr>
          <w:rFonts w:hint="eastAsia"/>
        </w:rPr>
        <w:tab/>
      </w:r>
      <w:r>
        <w:rPr>
          <w:rFonts w:hint="eastAsia"/>
        </w:rPr>
        <w:fldChar w:fldCharType="begin"/>
      </w:r>
      <w:r>
        <w:rPr>
          <w:rFonts w:hint="eastAsia"/>
        </w:rPr>
        <w:instrText xml:space="preserve"> </w:instrText>
      </w:r>
      <w:r>
        <w:instrText xml:space="preserve">PAGEREF _Toc233641743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B70E30F">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2AE0B0FF">
      <w:pPr>
        <w:pStyle w:val="89"/>
        <w:spacing w:before="560" w:after="360"/>
      </w:pPr>
      <w:bookmarkStart w:id="22" w:name="_Toc233641731"/>
      <w:bookmarkStart w:id="23" w:name="BookMark2"/>
      <w:r>
        <w:rPr>
          <w:rFonts w:hint="eastAsia"/>
          <w:spacing w:val="320"/>
        </w:rPr>
        <w:t>前</w:t>
      </w:r>
      <w:r>
        <w:rPr>
          <w:rFonts w:hint="eastAsia"/>
        </w:rPr>
        <w:t>言</w:t>
      </w:r>
      <w:bookmarkEnd w:id="22"/>
    </w:p>
    <w:p w14:paraId="06677215">
      <w:pPr>
        <w:pStyle w:val="56"/>
        <w:ind w:firstLine="420"/>
      </w:pPr>
      <w:r>
        <w:rPr>
          <w:rFonts w:hint="eastAsia"/>
        </w:rPr>
        <w:t>本文件按照GB/T 1.1—2020《标准化工作导则  第1部分：标准化文件的结构和起草规则》的规定起草。</w:t>
      </w:r>
    </w:p>
    <w:p w14:paraId="3D03E4A6">
      <w:pPr>
        <w:pStyle w:val="56"/>
        <w:ind w:firstLine="420"/>
      </w:pPr>
    </w:p>
    <w:p w14:paraId="716979C7">
      <w:pPr>
        <w:pStyle w:val="56"/>
        <w:ind w:firstLine="420"/>
      </w:pPr>
    </w:p>
    <w:p w14:paraId="069D3DD9">
      <w:pPr>
        <w:pStyle w:val="56"/>
        <w:ind w:firstLine="420"/>
      </w:pPr>
    </w:p>
    <w:p w14:paraId="7DE347E2">
      <w:pPr>
        <w:pStyle w:val="56"/>
        <w:ind w:firstLine="420"/>
      </w:pPr>
      <w:r>
        <w:rPr>
          <w:rFonts w:hint="eastAsia"/>
        </w:rPr>
        <w:t>本文件由中国港口协会提出并归口。</w:t>
      </w:r>
    </w:p>
    <w:p w14:paraId="118A0FB4">
      <w:pPr>
        <w:pStyle w:val="56"/>
        <w:ind w:firstLine="420"/>
      </w:pPr>
      <w:r>
        <w:rPr>
          <w:rFonts w:hint="eastAsia"/>
        </w:rPr>
        <w:t>本文件起草单位：唐山港口实业集团有限公司、中国船级社质量认证有限公司、东方国际集装箱（锦州）有限公司</w:t>
      </w:r>
    </w:p>
    <w:p w14:paraId="741D3045">
      <w:pPr>
        <w:pStyle w:val="56"/>
        <w:ind w:firstLine="420"/>
      </w:pPr>
      <w:r>
        <w:rPr>
          <w:rFonts w:hint="eastAsia"/>
        </w:rPr>
        <w:t>本文件主要起草人：张小锐</w:t>
      </w:r>
      <w:r>
        <w:rPr>
          <w:rFonts w:hint="eastAsia"/>
          <w:lang w:eastAsia="zh-CN"/>
        </w:rPr>
        <w:t>、</w:t>
      </w:r>
      <w:r>
        <w:rPr>
          <w:rFonts w:hint="eastAsia"/>
        </w:rPr>
        <w:t>洪玉</w:t>
      </w:r>
      <w:r>
        <w:rPr>
          <w:rFonts w:hint="eastAsia"/>
          <w:lang w:eastAsia="zh-CN"/>
        </w:rPr>
        <w:t>、</w:t>
      </w:r>
      <w:r>
        <w:rPr>
          <w:rFonts w:hint="eastAsia"/>
        </w:rPr>
        <w:t>杜海涛</w:t>
      </w:r>
      <w:r>
        <w:rPr>
          <w:rFonts w:hint="eastAsia"/>
          <w:lang w:eastAsia="zh-CN"/>
        </w:rPr>
        <w:t>、</w:t>
      </w:r>
      <w:r>
        <w:rPr>
          <w:rFonts w:hint="eastAsia"/>
        </w:rPr>
        <w:t>曾强</w:t>
      </w:r>
      <w:r>
        <w:rPr>
          <w:rFonts w:hint="eastAsia"/>
          <w:lang w:eastAsia="zh-CN"/>
        </w:rPr>
        <w:t>、</w:t>
      </w:r>
      <w:r>
        <w:rPr>
          <w:rFonts w:hint="eastAsia"/>
        </w:rPr>
        <w:t>于泳</w:t>
      </w:r>
      <w:r>
        <w:rPr>
          <w:rFonts w:hint="eastAsia"/>
          <w:lang w:eastAsia="zh-CN"/>
        </w:rPr>
        <w:t>、</w:t>
      </w:r>
      <w:r>
        <w:rPr>
          <w:rFonts w:hint="eastAsia"/>
        </w:rPr>
        <w:t>崔金磊</w:t>
      </w:r>
      <w:r>
        <w:rPr>
          <w:rFonts w:hint="eastAsia"/>
          <w:lang w:eastAsia="zh-CN"/>
        </w:rPr>
        <w:t>、</w:t>
      </w:r>
      <w:r>
        <w:rPr>
          <w:rFonts w:hint="eastAsia"/>
        </w:rPr>
        <w:t>韩德胜</w:t>
      </w:r>
      <w:r>
        <w:rPr>
          <w:rFonts w:hint="eastAsia"/>
          <w:lang w:eastAsia="zh-CN"/>
        </w:rPr>
        <w:t>、</w:t>
      </w:r>
      <w:r>
        <w:rPr>
          <w:rFonts w:hint="eastAsia"/>
        </w:rPr>
        <w:t>康应旭</w:t>
      </w:r>
      <w:r>
        <w:rPr>
          <w:rFonts w:hint="eastAsia"/>
          <w:lang w:eastAsia="zh-CN"/>
        </w:rPr>
        <w:t>、</w:t>
      </w:r>
      <w:r>
        <w:rPr>
          <w:rFonts w:hint="eastAsia"/>
        </w:rPr>
        <w:t>易继远</w:t>
      </w:r>
      <w:r>
        <w:rPr>
          <w:rFonts w:hint="eastAsia"/>
          <w:lang w:eastAsia="zh-CN"/>
        </w:rPr>
        <w:t>、</w:t>
      </w:r>
      <w:r>
        <w:rPr>
          <w:rFonts w:hint="eastAsia"/>
        </w:rPr>
        <w:t>肖永达</w:t>
      </w:r>
      <w:r>
        <w:rPr>
          <w:rFonts w:hint="eastAsia"/>
          <w:lang w:eastAsia="zh-CN"/>
        </w:rPr>
        <w:t>、</w:t>
      </w:r>
      <w:r>
        <w:rPr>
          <w:rFonts w:hint="eastAsia"/>
        </w:rPr>
        <w:t>郑全杰</w:t>
      </w:r>
      <w:r>
        <w:rPr>
          <w:rFonts w:hint="eastAsia"/>
          <w:lang w:eastAsia="zh-CN"/>
        </w:rPr>
        <w:t>、</w:t>
      </w:r>
      <w:r>
        <w:rPr>
          <w:rFonts w:hint="eastAsia"/>
        </w:rPr>
        <w:t>耿银良</w:t>
      </w:r>
      <w:r>
        <w:rPr>
          <w:rFonts w:hint="eastAsia"/>
          <w:lang w:eastAsia="zh-CN"/>
        </w:rPr>
        <w:t>、</w:t>
      </w:r>
      <w:r>
        <w:rPr>
          <w:rFonts w:hint="eastAsia"/>
        </w:rPr>
        <w:t>葛帅涛</w:t>
      </w:r>
      <w:r>
        <w:rPr>
          <w:rFonts w:hint="eastAsia"/>
          <w:lang w:eastAsia="zh-CN"/>
        </w:rPr>
        <w:t>、</w:t>
      </w:r>
      <w:r>
        <w:rPr>
          <w:rFonts w:hint="eastAsia"/>
        </w:rPr>
        <w:t>闫明明</w:t>
      </w:r>
      <w:r>
        <w:rPr>
          <w:rFonts w:hint="eastAsia"/>
          <w:lang w:eastAsia="zh-CN"/>
        </w:rPr>
        <w:t>、</w:t>
      </w:r>
      <w:r>
        <w:rPr>
          <w:rFonts w:hint="eastAsia"/>
        </w:rPr>
        <w:t>何海滨</w:t>
      </w:r>
      <w:r>
        <w:rPr>
          <w:rFonts w:hint="eastAsia"/>
          <w:lang w:eastAsia="zh-CN"/>
        </w:rPr>
        <w:t>、</w:t>
      </w:r>
      <w:r>
        <w:rPr>
          <w:rFonts w:hint="eastAsia"/>
        </w:rPr>
        <w:t>刘桐</w:t>
      </w:r>
      <w:r>
        <w:rPr>
          <w:rFonts w:hint="eastAsia"/>
          <w:lang w:eastAsia="zh-CN"/>
        </w:rPr>
        <w:t>、</w:t>
      </w:r>
      <w:r>
        <w:rPr>
          <w:rFonts w:hint="eastAsia"/>
        </w:rPr>
        <w:t>徐欣茹</w:t>
      </w:r>
      <w:r>
        <w:rPr>
          <w:rFonts w:hint="eastAsia"/>
          <w:lang w:eastAsia="zh-CN"/>
        </w:rPr>
        <w:t>、</w:t>
      </w:r>
      <w:r>
        <w:rPr>
          <w:rFonts w:hint="eastAsia"/>
        </w:rPr>
        <w:t>刘小照</w:t>
      </w:r>
      <w:r>
        <w:rPr>
          <w:rFonts w:hint="eastAsia"/>
          <w:lang w:eastAsia="zh-CN"/>
        </w:rPr>
        <w:t>、</w:t>
      </w:r>
      <w:r>
        <w:rPr>
          <w:rFonts w:hint="eastAsia"/>
        </w:rPr>
        <w:t>蔡红军</w:t>
      </w:r>
      <w:r>
        <w:rPr>
          <w:rFonts w:hint="eastAsia"/>
          <w:lang w:eastAsia="zh-CN"/>
        </w:rPr>
        <w:t>、</w:t>
      </w:r>
      <w:r>
        <w:rPr>
          <w:rFonts w:hint="eastAsia"/>
        </w:rPr>
        <w:t>赵宏</w:t>
      </w:r>
    </w:p>
    <w:p w14:paraId="68E46B12">
      <w:pPr>
        <w:pStyle w:val="56"/>
        <w:ind w:firstLine="420"/>
      </w:pPr>
    </w:p>
    <w:p w14:paraId="3B433B47">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14D2606C">
      <w:pPr>
        <w:spacing w:line="20" w:lineRule="exact"/>
        <w:jc w:val="center"/>
        <w:rPr>
          <w:rFonts w:hint="eastAsia" w:ascii="黑体" w:hAnsi="黑体" w:eastAsia="黑体"/>
          <w:sz w:val="32"/>
          <w:szCs w:val="32"/>
        </w:rPr>
      </w:pPr>
      <w:bookmarkStart w:id="24" w:name="BookMark4"/>
    </w:p>
    <w:p w14:paraId="65C9D238">
      <w:pPr>
        <w:spacing w:line="20" w:lineRule="exact"/>
        <w:jc w:val="center"/>
        <w:rPr>
          <w:rFonts w:hint="eastAsia" w:ascii="黑体" w:hAnsi="黑体" w:eastAsia="黑体"/>
          <w:sz w:val="32"/>
          <w:szCs w:val="32"/>
        </w:rPr>
      </w:pPr>
    </w:p>
    <w:sdt>
      <w:sdtPr>
        <w:tag w:val="NEW_STAND_NAME"/>
        <w:id w:val="595910757"/>
        <w:lock w:val="sdtLocked"/>
        <w:placeholder>
          <w:docPart w:val="50462BE16C374184B7BAD09FDCD9C3E6"/>
        </w:placeholder>
      </w:sdtPr>
      <w:sdtContent>
        <w:p w14:paraId="0A929706">
          <w:pPr>
            <w:pStyle w:val="177"/>
            <w:spacing w:before="2" w:beforeLines="1" w:after="528" w:afterLines="220"/>
            <w:rPr>
              <w:rFonts w:hint="eastAsia"/>
            </w:rPr>
          </w:pPr>
          <w:bookmarkStart w:id="25" w:name="NEW_STAND_NAME"/>
          <w:r>
            <w:rPr>
              <w:rFonts w:hint="eastAsia"/>
            </w:rPr>
            <w:t>转换平台式集装箱技术要求</w:t>
          </w:r>
        </w:p>
      </w:sdtContent>
    </w:sdt>
    <w:bookmarkEnd w:id="25"/>
    <w:p w14:paraId="34B86B24">
      <w:pPr>
        <w:pStyle w:val="104"/>
        <w:spacing w:before="240" w:after="240"/>
        <w:ind w:left="0"/>
      </w:pPr>
      <w:bookmarkStart w:id="26" w:name="_Toc17233325"/>
      <w:bookmarkStart w:id="27" w:name="_Toc97192964"/>
      <w:bookmarkStart w:id="28" w:name="_Toc26718930"/>
      <w:bookmarkStart w:id="29" w:name="_Toc26986530"/>
      <w:bookmarkStart w:id="30" w:name="_Toc233641732"/>
      <w:bookmarkStart w:id="31" w:name="_Toc24884211"/>
      <w:bookmarkStart w:id="32" w:name="_Toc24884218"/>
      <w:bookmarkStart w:id="33" w:name="_Toc26648465"/>
      <w:bookmarkStart w:id="34" w:name="_Toc17233333"/>
      <w:bookmarkStart w:id="35" w:name="_Toc26986771"/>
      <w:r>
        <w:rPr>
          <w:rFonts w:hint="eastAsia"/>
        </w:rPr>
        <w:t>范围</w:t>
      </w:r>
      <w:bookmarkEnd w:id="26"/>
      <w:bookmarkEnd w:id="27"/>
      <w:bookmarkEnd w:id="28"/>
      <w:bookmarkEnd w:id="29"/>
      <w:bookmarkEnd w:id="30"/>
      <w:bookmarkEnd w:id="31"/>
      <w:bookmarkEnd w:id="32"/>
      <w:bookmarkEnd w:id="33"/>
      <w:bookmarkEnd w:id="34"/>
      <w:bookmarkEnd w:id="35"/>
    </w:p>
    <w:p w14:paraId="59962041">
      <w:pPr>
        <w:pStyle w:val="56"/>
        <w:ind w:firstLine="420"/>
      </w:pPr>
      <w:bookmarkStart w:id="36" w:name="OLE_LINK23"/>
      <w:bookmarkStart w:id="37" w:name="_Toc24884212"/>
      <w:bookmarkStart w:id="38" w:name="_Toc17233326"/>
      <w:bookmarkStart w:id="39" w:name="_Toc26648466"/>
      <w:bookmarkStart w:id="40" w:name="_Toc24884219"/>
      <w:bookmarkStart w:id="41" w:name="_Toc17233334"/>
      <w:r>
        <w:rPr>
          <w:rFonts w:hint="eastAsia"/>
        </w:rPr>
        <w:t>本文件</w:t>
      </w:r>
      <w:bookmarkStart w:id="42" w:name="OLE_LINK7"/>
      <w:r>
        <w:rPr>
          <w:rFonts w:hint="eastAsia"/>
        </w:rPr>
        <w:t>规定了转换平台式集装箱的结构、通用要求、性能、尺寸与公差、零部件、焊接与无损检测、涂装等要求。</w:t>
      </w:r>
      <w:bookmarkEnd w:id="36"/>
      <w:bookmarkEnd w:id="42"/>
    </w:p>
    <w:p w14:paraId="6F605160">
      <w:pPr>
        <w:pStyle w:val="56"/>
        <w:ind w:firstLine="420"/>
      </w:pPr>
      <w:r>
        <w:rPr>
          <w:rFonts w:hint="eastAsia"/>
        </w:rPr>
        <w:t>本文件适用于转换平台式集装箱的设计、生产和使用。</w:t>
      </w:r>
    </w:p>
    <w:p w14:paraId="21F31321">
      <w:pPr>
        <w:pStyle w:val="56"/>
        <w:ind w:firstLine="420"/>
      </w:pPr>
      <w:r>
        <w:rPr>
          <w:rFonts w:hint="eastAsia"/>
        </w:rPr>
        <w:t>本文件不适用于公路和铁路运输的转换平台式集装箱。</w:t>
      </w:r>
    </w:p>
    <w:p w14:paraId="0531A4AB">
      <w:pPr>
        <w:pStyle w:val="104"/>
        <w:spacing w:before="240" w:after="240"/>
        <w:ind w:left="0"/>
      </w:pPr>
      <w:bookmarkStart w:id="43" w:name="_Toc26718931"/>
      <w:bookmarkStart w:id="44" w:name="_Toc26986772"/>
      <w:bookmarkStart w:id="45" w:name="_Toc26986531"/>
      <w:bookmarkStart w:id="46" w:name="_Toc233641733"/>
      <w:bookmarkStart w:id="47" w:name="_Toc97192965"/>
      <w:r>
        <w:rPr>
          <w:rFonts w:hint="eastAsia"/>
        </w:rPr>
        <w:t>规范性引用文件</w:t>
      </w:r>
      <w:bookmarkEnd w:id="37"/>
      <w:bookmarkEnd w:id="38"/>
      <w:bookmarkEnd w:id="39"/>
      <w:bookmarkEnd w:id="40"/>
      <w:bookmarkEnd w:id="41"/>
      <w:bookmarkEnd w:id="43"/>
      <w:bookmarkEnd w:id="44"/>
      <w:bookmarkEnd w:id="45"/>
      <w:bookmarkEnd w:id="46"/>
      <w:bookmarkEnd w:id="47"/>
    </w:p>
    <w:sdt>
      <w:sdtPr>
        <w:rPr>
          <w:rFonts w:hint="eastAsia"/>
        </w:rPr>
        <w:id w:val="715848253"/>
        <w:placeholder>
          <w:docPart w:val="09476E81B95844658B791BD24FFEAE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C86F92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513532">
      <w:pPr>
        <w:pStyle w:val="56"/>
        <w:ind w:firstLine="420"/>
      </w:pPr>
      <w:r>
        <w:t xml:space="preserve">GB/T 1413 </w:t>
      </w:r>
      <w:r>
        <w:rPr>
          <w:rFonts w:hint="eastAsia"/>
        </w:rPr>
        <w:t>系列</w:t>
      </w:r>
      <w:r>
        <w:t xml:space="preserve">1 </w:t>
      </w:r>
      <w:r>
        <w:rPr>
          <w:rFonts w:hint="eastAsia"/>
        </w:rPr>
        <w:t>集装箱</w:t>
      </w:r>
      <w:r>
        <w:t xml:space="preserve"> </w:t>
      </w:r>
      <w:r>
        <w:rPr>
          <w:rFonts w:hint="eastAsia"/>
        </w:rPr>
        <w:t>分类、尺寸和额定质量</w:t>
      </w:r>
    </w:p>
    <w:p w14:paraId="4D72951B">
      <w:pPr>
        <w:pStyle w:val="56"/>
        <w:ind w:firstLine="420"/>
      </w:pPr>
      <w:r>
        <w:t xml:space="preserve">GB/T 1835 </w:t>
      </w:r>
      <w:r>
        <w:rPr>
          <w:rFonts w:hint="eastAsia"/>
        </w:rPr>
        <w:t>系列</w:t>
      </w:r>
      <w:r>
        <w:t xml:space="preserve">1 </w:t>
      </w:r>
      <w:r>
        <w:rPr>
          <w:rFonts w:hint="eastAsia"/>
        </w:rPr>
        <w:t>集装箱</w:t>
      </w:r>
      <w:r>
        <w:t xml:space="preserve"> </w:t>
      </w:r>
      <w:r>
        <w:rPr>
          <w:rFonts w:hint="eastAsia"/>
        </w:rPr>
        <w:t>角件技术要求</w:t>
      </w:r>
    </w:p>
    <w:p w14:paraId="3FCF13C3">
      <w:pPr>
        <w:pStyle w:val="56"/>
        <w:ind w:firstLine="420"/>
      </w:pPr>
      <w:bookmarkStart w:id="48" w:name="OLE_LINK11"/>
      <w:r>
        <w:t>GB/T 1836</w:t>
      </w:r>
      <w:bookmarkEnd w:id="48"/>
      <w:r>
        <w:t xml:space="preserve"> </w:t>
      </w:r>
      <w:r>
        <w:rPr>
          <w:rFonts w:hint="eastAsia"/>
        </w:rPr>
        <w:t>集装箱代码、识别和标记</w:t>
      </w:r>
    </w:p>
    <w:p w14:paraId="0635E959">
      <w:pPr>
        <w:pStyle w:val="56"/>
        <w:ind w:firstLine="420"/>
      </w:pPr>
      <w:r>
        <w:rPr>
          <w:rFonts w:hint="eastAsia"/>
        </w:rPr>
        <w:t>GB/T 1992 集装箱术语</w:t>
      </w:r>
    </w:p>
    <w:p w14:paraId="21A2C150">
      <w:pPr>
        <w:pStyle w:val="56"/>
        <w:ind w:firstLine="420"/>
      </w:pPr>
      <w:r>
        <w:rPr>
          <w:rFonts w:hint="eastAsia"/>
        </w:rPr>
        <w:t>GB/T 5338.5系列1 集装箱 技术要求和试验方法 第5部分 平台和台架式集装箱</w:t>
      </w:r>
    </w:p>
    <w:p w14:paraId="7BDEE97C">
      <w:pPr>
        <w:pStyle w:val="56"/>
        <w:ind w:firstLine="420"/>
      </w:pPr>
      <w:r>
        <w:rPr>
          <w:rFonts w:hint="eastAsia"/>
        </w:rPr>
        <w:t xml:space="preserve">GB/T 8923.1 </w:t>
      </w:r>
      <w:r>
        <w:t>涂覆涂料前钢材表面处理 表面清洁度的目视评定 第1部分</w:t>
      </w:r>
      <w:r>
        <w:rPr>
          <w:rFonts w:hint="eastAsia"/>
        </w:rPr>
        <w:t>：</w:t>
      </w:r>
      <w:r>
        <w:t>未涂覆过的钢材表面和全面清除原有涂层后的钢材表面的锈蚀等级和处理等级</w:t>
      </w:r>
    </w:p>
    <w:p w14:paraId="62AA5A54">
      <w:pPr>
        <w:pStyle w:val="56"/>
        <w:ind w:firstLine="420"/>
      </w:pPr>
      <w:bookmarkStart w:id="49" w:name="OLE_LINK48"/>
      <w:r>
        <w:rPr>
          <w:rFonts w:hint="eastAsia"/>
        </w:rPr>
        <w:t>GB/T 17382 系列1集装箱 装卸和栓固</w:t>
      </w:r>
    </w:p>
    <w:p w14:paraId="3C5841AD">
      <w:pPr>
        <w:pStyle w:val="56"/>
        <w:ind w:firstLine="420"/>
      </w:pPr>
      <w:r>
        <w:rPr>
          <w:rFonts w:hint="eastAsia"/>
        </w:rPr>
        <w:t>GB/T 26951 焊缝无损检测 磁粉检测</w:t>
      </w:r>
    </w:p>
    <w:p w14:paraId="20DC58AD">
      <w:pPr>
        <w:pStyle w:val="56"/>
        <w:ind w:firstLine="420"/>
      </w:pPr>
      <w:r>
        <w:rPr>
          <w:rFonts w:hint="eastAsia"/>
        </w:rPr>
        <w:t>GB/T 35201 系列2集装箱 分类、尺寸和额定质量</w:t>
      </w:r>
    </w:p>
    <w:p w14:paraId="0A0203C1">
      <w:pPr>
        <w:pStyle w:val="56"/>
        <w:ind w:firstLine="420"/>
      </w:pPr>
      <w:r>
        <w:fldChar w:fldCharType="begin"/>
      </w:r>
      <w:r>
        <w:instrText xml:space="preserve"> HYPERLINK "https://std.samr.gov.cn/hb/search/stdHBDetailed?id=8B1827F1A2E2BB19E05397BE0A0AB44A" \t "_blank" </w:instrText>
      </w:r>
      <w:r>
        <w:fldChar w:fldCharType="separate"/>
      </w:r>
      <w:r>
        <w:t>JB/T 10559 </w:t>
      </w:r>
      <w:r>
        <w:rPr>
          <w:rFonts w:hint="eastAsia"/>
        </w:rPr>
        <w:t xml:space="preserve"> </w:t>
      </w:r>
      <w:r>
        <w:t>起重机械无损检测 钢焊缝超声检测</w:t>
      </w:r>
      <w:r>
        <w:fldChar w:fldCharType="end"/>
      </w:r>
    </w:p>
    <w:p w14:paraId="31B02891">
      <w:pPr>
        <w:pStyle w:val="56"/>
        <w:ind w:firstLine="420"/>
      </w:pPr>
      <w:r>
        <w:rPr>
          <w:rFonts w:hint="eastAsia"/>
        </w:rPr>
        <w:t xml:space="preserve">JT/T 1172.5 </w:t>
      </w:r>
      <w:bookmarkEnd w:id="49"/>
      <w:r>
        <w:rPr>
          <w:rFonts w:hint="eastAsia"/>
        </w:rPr>
        <w:t>系列2集装箱 技术要求和试验方法 第5部分 平台和台架式集装箱</w:t>
      </w:r>
    </w:p>
    <w:p w14:paraId="4E111984">
      <w:pPr>
        <w:pStyle w:val="56"/>
        <w:ind w:firstLine="420"/>
        <w:rPr>
          <w:strike/>
        </w:rPr>
      </w:pPr>
      <w:bookmarkStart w:id="50" w:name="OLE_LINK13"/>
      <w:r>
        <w:rPr>
          <w:rFonts w:hint="eastAsia"/>
        </w:rPr>
        <w:t>JT/T 1463</w:t>
      </w:r>
      <w:bookmarkEnd w:id="50"/>
      <w:r>
        <w:rPr>
          <w:rFonts w:hint="eastAsia"/>
        </w:rPr>
        <w:t xml:space="preserve"> 系列2 集装箱 代码、识别和标记</w:t>
      </w:r>
    </w:p>
    <w:p w14:paraId="2940236B">
      <w:pPr>
        <w:pStyle w:val="104"/>
        <w:spacing w:before="240" w:after="240"/>
        <w:ind w:left="0"/>
      </w:pPr>
      <w:bookmarkStart w:id="51" w:name="_Toc233641734"/>
      <w:bookmarkStart w:id="52" w:name="_Toc97192966"/>
      <w:r>
        <w:rPr>
          <w:rFonts w:hint="eastAsia"/>
          <w:szCs w:val="21"/>
        </w:rPr>
        <w:t>术语和定义</w:t>
      </w:r>
      <w:bookmarkEnd w:id="51"/>
      <w:bookmarkEnd w:id="52"/>
    </w:p>
    <w:sdt>
      <w:sdtPr>
        <w:id w:val="-1909835108"/>
        <w:placeholder>
          <w:docPart w:val="18EC6F5EF00F462E888353638765EA59"/>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C9B990A">
          <w:pPr>
            <w:pStyle w:val="56"/>
            <w:ind w:firstLine="420"/>
          </w:pPr>
          <w:bookmarkStart w:id="53" w:name="_Toc26986532"/>
          <w:bookmarkEnd w:id="53"/>
          <w:r>
            <w:t>GB/T 1992界定的以及下列术语和定义适用于本文件。</w:t>
          </w:r>
        </w:p>
      </w:sdtContent>
    </w:sdt>
    <w:p w14:paraId="184ACDF5">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转换平台式集装箱 </w:t>
      </w:r>
      <w:r>
        <w:rPr>
          <w:rFonts w:ascii="黑体" w:hAnsi="黑体" w:eastAsia="黑体"/>
        </w:rPr>
        <w:t>transfer platform container</w:t>
      </w:r>
    </w:p>
    <w:p w14:paraId="08CBE1C3">
      <w:pPr>
        <w:pStyle w:val="56"/>
        <w:ind w:firstLine="420"/>
      </w:pPr>
      <w:r>
        <w:rPr>
          <w:rFonts w:hint="eastAsia"/>
        </w:rPr>
        <w:t>一种专用结构的平台式集装箱，以20英尺系列2集装箱为运载对象。</w:t>
      </w:r>
    </w:p>
    <w:p w14:paraId="13EBEFD1">
      <w:pPr>
        <w:pStyle w:val="179"/>
      </w:pPr>
      <w:r>
        <w:rPr>
          <w:rFonts w:hint="eastAsia"/>
        </w:rPr>
        <w:t>其顶、底部长度与20英尺的系列1集装箱长度相同，其宽度为N个系列1集装箱宽度及其间隙之和。每个箱位均配有底角件，角件的平面位置与系列1集装箱的底部结构一致。其顶、底部设有长、宽与系列1集装箱相同专用吊装角件。</w:t>
      </w:r>
    </w:p>
    <w:p w14:paraId="10A09A55">
      <w:pPr>
        <w:pStyle w:val="179"/>
        <w:numPr>
          <w:ilvl w:val="0"/>
          <w:numId w:val="0"/>
        </w:numPr>
        <w:ind w:left="737"/>
      </w:pPr>
      <w:r>
        <w:rPr>
          <w:rFonts w:hint="eastAsia" w:hAnsi="宋体"/>
        </w:rPr>
        <w:t>同等长度的系列1集装箱所使用的栓固件和起吊件，均能适用于转换平台式集装箱。</w:t>
      </w:r>
    </w:p>
    <w:p w14:paraId="7C4D73F6">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吊装角件 </w:t>
      </w:r>
      <w:r>
        <w:rPr>
          <w:rFonts w:hint="eastAsia" w:eastAsia="黑体"/>
          <w:b/>
          <w:bCs/>
        </w:rPr>
        <w:t>l</w:t>
      </w:r>
      <w:r>
        <w:rPr>
          <w:rFonts w:eastAsia="黑体"/>
          <w:b/>
          <w:bCs/>
        </w:rPr>
        <w:t>ifting corner fittings</w:t>
      </w:r>
    </w:p>
    <w:p w14:paraId="42669057">
      <w:pPr>
        <w:pStyle w:val="56"/>
        <w:ind w:firstLine="420"/>
      </w:pPr>
      <w:bookmarkStart w:id="54" w:name="OLE_LINK24"/>
      <w:r>
        <w:rPr>
          <w:rFonts w:hint="eastAsia"/>
        </w:rPr>
        <w:t>转换平台式集装箱</w:t>
      </w:r>
      <w:bookmarkEnd w:id="54"/>
      <w:r>
        <w:rPr>
          <w:rFonts w:hint="eastAsia"/>
        </w:rPr>
        <w:t>上设置的专门用于起吊的角件，也用于转换平台式集装箱组成联挂单元的锁固。位于箱体上部的为上部吊装角件，位于箱体下部的为下部吊装角件。</w:t>
      </w:r>
    </w:p>
    <w:p w14:paraId="73BC29B3">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连接角件 </w:t>
      </w:r>
      <w:r>
        <w:rPr>
          <w:rFonts w:hint="eastAsia" w:eastAsia="黑体"/>
          <w:b/>
          <w:bCs/>
        </w:rPr>
        <w:t>c</w:t>
      </w:r>
      <w:r>
        <w:rPr>
          <w:rFonts w:eastAsia="黑体"/>
          <w:b/>
          <w:bCs/>
        </w:rPr>
        <w:t>onnecting corner fittings</w:t>
      </w:r>
    </w:p>
    <w:p w14:paraId="1498BEE7">
      <w:pPr>
        <w:pStyle w:val="56"/>
        <w:ind w:firstLine="420"/>
      </w:pPr>
      <w:r>
        <w:rPr>
          <w:rFonts w:hint="eastAsia"/>
        </w:rPr>
        <w:t>转换平台式集装箱上除吊装角件外的其他用于连接固定的角件。</w:t>
      </w:r>
      <w:bookmarkStart w:id="55" w:name="OLE_LINK40"/>
      <w:r>
        <w:rPr>
          <w:rFonts w:hint="eastAsia"/>
        </w:rPr>
        <w:t>位于箱体上部的为上部连接角件</w:t>
      </w:r>
      <w:bookmarkEnd w:id="55"/>
      <w:r>
        <w:rPr>
          <w:rFonts w:hint="eastAsia"/>
        </w:rPr>
        <w:t>，用于系列2集装箱的堆叠和连接固定；位于箱体下部的为下部连接角件，用于转换平台式集装箱的锁固，其一般与系列1集装箱或集装箱船舶连接。</w:t>
      </w:r>
    </w:p>
    <w:p w14:paraId="42E05598">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纵向</w:t>
      </w:r>
      <w:bookmarkStart w:id="56" w:name="OLE_LINK34"/>
      <w:r>
        <w:rPr>
          <w:rFonts w:hint="eastAsia" w:ascii="黑体" w:hAnsi="黑体" w:eastAsia="黑体"/>
        </w:rPr>
        <w:t xml:space="preserve"> </w:t>
      </w:r>
      <w:r>
        <w:rPr>
          <w:rFonts w:eastAsia="黑体"/>
          <w:b/>
          <w:bCs/>
        </w:rPr>
        <w:t>longitudinal</w:t>
      </w:r>
      <w:r>
        <w:rPr>
          <w:rFonts w:hint="eastAsia" w:eastAsia="黑体"/>
          <w:b/>
          <w:bCs/>
        </w:rPr>
        <w:t xml:space="preserve"> </w:t>
      </w:r>
      <w:r>
        <w:rPr>
          <w:rFonts w:eastAsia="黑体"/>
          <w:b/>
          <w:bCs/>
        </w:rPr>
        <w:t>direction</w:t>
      </w:r>
      <w:bookmarkEnd w:id="56"/>
    </w:p>
    <w:p w14:paraId="33409278">
      <w:pPr>
        <w:pStyle w:val="56"/>
        <w:ind w:firstLine="420"/>
      </w:pPr>
      <w:r>
        <w:rPr>
          <w:rFonts w:hint="eastAsia"/>
        </w:rPr>
        <w:t>转换平台式集装箱的长度方向。</w:t>
      </w:r>
    </w:p>
    <w:p w14:paraId="4F3FCECC">
      <w:pPr>
        <w:pStyle w:val="179"/>
      </w:pPr>
      <w:r>
        <w:rPr>
          <w:rFonts w:hint="eastAsia"/>
        </w:rPr>
        <w:t>转换平台式集装箱的长度</w:t>
      </w:r>
      <w:bookmarkStart w:id="57" w:name="OLE_LINK42"/>
      <w:r>
        <w:rPr>
          <w:rFonts w:hint="eastAsia"/>
        </w:rPr>
        <w:t>为GB/T1413中1CX型集装箱的长度</w:t>
      </w:r>
      <w:bookmarkEnd w:id="57"/>
      <w:r>
        <w:rPr>
          <w:rFonts w:hint="eastAsia"/>
        </w:rPr>
        <w:t>。</w:t>
      </w:r>
    </w:p>
    <w:p w14:paraId="5DED53B4">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横向</w:t>
      </w:r>
      <w:r>
        <w:rPr>
          <w:rFonts w:hint="eastAsia" w:ascii="黑体" w:hAnsi="黑体"/>
        </w:rPr>
        <w:t xml:space="preserve"> </w:t>
      </w:r>
      <w:r>
        <w:rPr>
          <w:rFonts w:eastAsia="黑体"/>
          <w:b/>
          <w:bCs/>
        </w:rPr>
        <w:t>cross</w:t>
      </w:r>
      <w:r>
        <w:rPr>
          <w:rFonts w:hint="eastAsia" w:eastAsia="黑体"/>
          <w:b/>
          <w:bCs/>
        </w:rPr>
        <w:t xml:space="preserve"> </w:t>
      </w:r>
      <w:r>
        <w:rPr>
          <w:rFonts w:eastAsia="黑体"/>
          <w:b/>
          <w:bCs/>
        </w:rPr>
        <w:t>direction</w:t>
      </w:r>
    </w:p>
    <w:p w14:paraId="74B11A4C">
      <w:pPr>
        <w:pStyle w:val="56"/>
        <w:ind w:firstLine="420"/>
      </w:pPr>
      <w:r>
        <w:rPr>
          <w:rFonts w:hint="eastAsia"/>
        </w:rPr>
        <w:t>转换平台式集装箱的宽度方向。</w:t>
      </w:r>
    </w:p>
    <w:p w14:paraId="494AC3C1">
      <w:pPr>
        <w:pStyle w:val="179"/>
      </w:pPr>
      <w:r>
        <w:rPr>
          <w:rFonts w:hint="eastAsia"/>
        </w:rPr>
        <w:t>宽度方向为与长度方向垂直的方向。当箱体底部仅有一个箱位时，其宽度为GB/T1413中1CX型集装箱的宽度。</w:t>
      </w:r>
    </w:p>
    <w:p w14:paraId="54449D8D">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联挂单元 </w:t>
      </w:r>
      <w:r>
        <w:rPr>
          <w:rFonts w:hint="eastAsia"/>
          <w:b/>
          <w:bCs/>
        </w:rPr>
        <w:t>interlocked pile</w:t>
      </w:r>
    </w:p>
    <w:p w14:paraId="675D0D47">
      <w:pPr>
        <w:pStyle w:val="56"/>
        <w:ind w:firstLine="420"/>
      </w:pPr>
      <w:r>
        <w:rPr>
          <w:rFonts w:hint="eastAsia"/>
        </w:rPr>
        <w:t>若干转换平台式集装箱叠置连接而成的组合单元。</w:t>
      </w:r>
    </w:p>
    <w:p w14:paraId="77D33B93">
      <w:pPr>
        <w:pStyle w:val="179"/>
      </w:pPr>
      <w:r>
        <w:rPr>
          <w:rFonts w:hint="eastAsia"/>
        </w:rPr>
        <w:t>见5.13。</w:t>
      </w:r>
    </w:p>
    <w:p w14:paraId="7DA16DFC">
      <w:pPr>
        <w:pStyle w:val="223"/>
        <w:ind w:left="420" w:hanging="420" w:hangingChars="200"/>
        <w:rPr>
          <w:rFonts w:hint="eastAsia" w:ascii="黑体" w:hAnsi="黑体" w:eastAsia="黑体"/>
        </w:rPr>
      </w:pPr>
      <w:r>
        <w:rPr>
          <w:rFonts w:ascii="黑体" w:hAnsi="黑体" w:eastAsia="黑体"/>
        </w:rPr>
        <w:br w:type="textWrapping"/>
      </w:r>
      <w:bookmarkStart w:id="58" w:name="OLE_LINK38"/>
      <w:r>
        <w:rPr>
          <w:rFonts w:hint="eastAsia" w:ascii="黑体" w:hAnsi="黑体" w:eastAsia="黑体"/>
        </w:rPr>
        <w:t>箱体对接</w:t>
      </w:r>
      <w:bookmarkEnd w:id="58"/>
      <w:r>
        <w:rPr>
          <w:rFonts w:hint="eastAsia" w:ascii="黑体" w:hAnsi="黑体" w:eastAsia="黑体"/>
        </w:rPr>
        <w:t xml:space="preserve">侧 </w:t>
      </w:r>
      <w:bookmarkStart w:id="59" w:name="OLE_LINK39"/>
      <w:r>
        <w:rPr>
          <w:rFonts w:eastAsia="黑体"/>
          <w:b/>
          <w:bCs/>
        </w:rPr>
        <w:t>Combination side</w:t>
      </w:r>
      <w:r>
        <w:rPr>
          <w:rFonts w:hint="eastAsia" w:eastAsia="黑体"/>
          <w:b/>
          <w:bCs/>
        </w:rPr>
        <w:t xml:space="preserve"> of</w:t>
      </w:r>
      <w:r>
        <w:rPr>
          <w:rFonts w:eastAsia="黑体"/>
          <w:b/>
          <w:bCs/>
        </w:rPr>
        <w:t xml:space="preserve"> container</w:t>
      </w:r>
      <w:r>
        <w:rPr>
          <w:rFonts w:hint="eastAsia" w:eastAsia="黑体"/>
          <w:b/>
          <w:bCs/>
        </w:rPr>
        <w:t xml:space="preserve"> body</w:t>
      </w:r>
      <w:bookmarkEnd w:id="59"/>
    </w:p>
    <w:p w14:paraId="350558DB">
      <w:pPr>
        <w:pStyle w:val="56"/>
        <w:ind w:firstLine="420"/>
      </w:pPr>
      <w:r>
        <w:rPr>
          <w:rFonts w:hint="eastAsia"/>
        </w:rPr>
        <w:t>转换平台式集装箱</w:t>
      </w:r>
      <w:r>
        <w:t>多</w:t>
      </w:r>
      <w:r>
        <w:rPr>
          <w:rFonts w:hint="eastAsia"/>
        </w:rPr>
        <w:t>结构</w:t>
      </w:r>
      <w:r>
        <w:t>组合时，相邻</w:t>
      </w:r>
      <w:r>
        <w:rPr>
          <w:rFonts w:hint="eastAsia"/>
        </w:rPr>
        <w:t>结构</w:t>
      </w:r>
      <w:r>
        <w:t>用于对位配合的</w:t>
      </w:r>
      <w:r>
        <w:rPr>
          <w:rFonts w:hint="eastAsia"/>
        </w:rPr>
        <w:t>侧</w:t>
      </w:r>
      <w:r>
        <w:t>部区域，可将两个</w:t>
      </w:r>
      <w:r>
        <w:rPr>
          <w:rFonts w:hint="eastAsia"/>
        </w:rPr>
        <w:t>结构</w:t>
      </w:r>
      <w:r>
        <w:t>上端的不完整箱位</w:t>
      </w:r>
      <w:r>
        <w:rPr>
          <w:rFonts w:hint="eastAsia"/>
        </w:rPr>
        <w:t>组合</w:t>
      </w:r>
      <w:r>
        <w:t>为一个完整箱位。</w:t>
      </w:r>
    </w:p>
    <w:p w14:paraId="292E8A39">
      <w:pPr>
        <w:pStyle w:val="104"/>
        <w:spacing w:before="240" w:after="240"/>
        <w:ind w:left="0"/>
      </w:pPr>
      <w:bookmarkStart w:id="60" w:name="_Toc233641735"/>
      <w:r>
        <w:rPr>
          <w:rFonts w:hint="eastAsia"/>
        </w:rPr>
        <w:t>结构</w:t>
      </w:r>
      <w:bookmarkEnd w:id="60"/>
    </w:p>
    <w:p w14:paraId="1880E3F2">
      <w:pPr>
        <w:pStyle w:val="162"/>
        <w:ind w:left="0"/>
      </w:pPr>
      <w:r>
        <w:rPr>
          <w:rFonts w:hint="eastAsia"/>
        </w:rPr>
        <w:t>转换平台式集装箱一般由横梁和纵梁组成，其中横梁由上翼板、下翼板、腹板、上部连接角件、下部连接角件、上部吊装角件、下部吊装角件、支撑筋板等构件组成。</w:t>
      </w:r>
      <w:bookmarkStart w:id="61" w:name="OLE_LINK45"/>
      <w:r>
        <w:rPr>
          <w:rFonts w:hint="eastAsia"/>
        </w:rPr>
        <w:t>见图1</w:t>
      </w:r>
      <w:bookmarkEnd w:id="61"/>
      <w:r>
        <w:rPr>
          <w:rFonts w:hint="eastAsia"/>
        </w:rPr>
        <w:t>。</w:t>
      </w:r>
    </w:p>
    <w:p w14:paraId="23B5871E">
      <w:pPr>
        <w:pStyle w:val="162"/>
        <w:ind w:left="0"/>
      </w:pPr>
      <w:r>
        <w:rPr>
          <w:rFonts w:hint="eastAsia"/>
        </w:rPr>
        <w:t>转换平台式集装箱应分别设置4个上部吊装角件和4个下部吊装角件，吊装角件应以转换平台式集装箱的横向中心位置为中心对称布置，其安装尺寸和公差应满足本文件7.6条要求。</w:t>
      </w:r>
    </w:p>
    <w:p w14:paraId="79797D2D">
      <w:pPr>
        <w:pStyle w:val="162"/>
        <w:ind w:left="0"/>
      </w:pPr>
      <w:r>
        <w:rPr>
          <w:rFonts w:hint="eastAsia" w:hAnsi="宋体" w:cs="宋体"/>
        </w:rPr>
        <w:t>转换</w:t>
      </w:r>
      <w:r>
        <w:rPr>
          <w:rFonts w:hint="eastAsia"/>
        </w:rPr>
        <w:t>平台式集装箱的上部应设置用于固定系列2集装箱的上部连接角件，其沿转换平台式集装箱的横向布设，每个箱位包含4个上部连接角件，其安装尺寸和公差应满足本文件7.2条要求。</w:t>
      </w:r>
    </w:p>
    <w:p w14:paraId="44C42AB2">
      <w:pPr>
        <w:pStyle w:val="56"/>
        <w:ind w:left="0" w:leftChars="0" w:firstLine="0" w:firstLineChars="0"/>
        <w:jc w:val="center"/>
      </w:pPr>
      <w:r>
        <w:rPr>
          <w:sz w:val="21"/>
        </w:rPr>
        <mc:AlternateContent>
          <mc:Choice Requires="wps">
            <w:drawing>
              <wp:anchor distT="0" distB="0" distL="114300" distR="114300" simplePos="0" relativeHeight="251669504" behindDoc="0" locked="0" layoutInCell="1" allowOverlap="1">
                <wp:simplePos x="0" y="0"/>
                <wp:positionH relativeFrom="column">
                  <wp:posOffset>2193290</wp:posOffset>
                </wp:positionH>
                <wp:positionV relativeFrom="paragraph">
                  <wp:posOffset>1820545</wp:posOffset>
                </wp:positionV>
                <wp:extent cx="231140" cy="36322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231140" cy="363220"/>
                        </a:xfrm>
                        <a:prstGeom prst="rect">
                          <a:avLst/>
                        </a:prstGeom>
                        <a:ln w="635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14:paraId="389707E8">
                            <w:pPr>
                              <w:ind w:left="0" w:leftChars="0" w:firstLine="0" w:firstLineChars="0"/>
                              <w:jc w:val="both"/>
                              <w:rPr>
                                <w:rFonts w:hint="default" w:eastAsia="宋体"/>
                                <w:sz w:val="18"/>
                                <w:szCs w:val="18"/>
                                <w:lang w:val="en-US" w:eastAsia="zh-CN"/>
                              </w:rPr>
                            </w:pPr>
                            <w:r>
                              <w:rPr>
                                <w:rFonts w:hint="eastAsia"/>
                                <w:sz w:val="18"/>
                                <w:szCs w:val="18"/>
                                <w:lang w:val="en-US" w:eastAsia="zh-CN"/>
                              </w:rPr>
                              <w:t>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2.7pt;margin-top:143.35pt;height:28.6pt;width:18.2pt;z-index:251669504;mso-width-relative:page;mso-height-relative:page;" filled="f" stroked="f" coordsize="21600,21600" o:gfxdata="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VOaN8NUAAAALAQAADwAAAAAAAAABACAAAAAiAAAAZHJzL2Rvd25yZXYueG1sUEsBAhQA&#10;FAAAAAgAh07iQKTt419nAgAAtwQAAA4AAAAAAAAAAQAgAAAAJAEAAGRycy9lMm9Eb2MueG1sUEsF&#10;BgAAAAAGAAYAWQEAAP0FAAAAAA==&#10;">
                <v:fill on="f" focussize="0,0"/>
                <v:stroke on="f" weight="0.5pt" miterlimit="8" joinstyle="miter" dashstyle="dash"/>
                <v:imagedata o:title=""/>
                <o:lock v:ext="edit" aspectratio="f"/>
                <v:textbox>
                  <w:txbxContent>
                    <w:p w14:paraId="389707E8">
                      <w:pPr>
                        <w:ind w:left="0" w:leftChars="0" w:firstLine="0" w:firstLineChars="0"/>
                        <w:jc w:val="both"/>
                        <w:rPr>
                          <w:rFonts w:hint="default" w:eastAsia="宋体"/>
                          <w:sz w:val="18"/>
                          <w:szCs w:val="18"/>
                          <w:lang w:val="en-US" w:eastAsia="zh-CN"/>
                        </w:rPr>
                      </w:pPr>
                      <w:r>
                        <w:rPr>
                          <w:rFonts w:hint="eastAsia"/>
                          <w:sz w:val="18"/>
                          <w:szCs w:val="18"/>
                          <w:lang w:val="en-US" w:eastAsia="zh-CN"/>
                        </w:rPr>
                        <w:t>7</w:t>
                      </w:r>
                    </w:p>
                  </w:txbxContent>
                </v:textbox>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1376680</wp:posOffset>
                </wp:positionH>
                <wp:positionV relativeFrom="paragraph">
                  <wp:posOffset>1419225</wp:posOffset>
                </wp:positionV>
                <wp:extent cx="231140" cy="39497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231140" cy="394970"/>
                        </a:xfrm>
                        <a:prstGeom prst="rect">
                          <a:avLst/>
                        </a:prstGeom>
                        <a:ln w="635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14:paraId="498830BD">
                            <w:pPr>
                              <w:ind w:left="0" w:leftChars="0" w:firstLine="0" w:firstLineChars="0"/>
                              <w:jc w:val="both"/>
                              <w:rPr>
                                <w:rFonts w:hint="default" w:eastAsia="宋体"/>
                                <w:sz w:val="18"/>
                                <w:szCs w:val="18"/>
                                <w:lang w:val="en-US" w:eastAsia="zh-CN"/>
                              </w:rPr>
                            </w:pPr>
                            <w:r>
                              <w:rPr>
                                <w:rFonts w:hint="eastAsia"/>
                                <w:sz w:val="18"/>
                                <w:szCs w:val="18"/>
                                <w:lang w:val="en-US" w:eastAsia="zh-CN"/>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8.4pt;margin-top:111.75pt;height:31.1pt;width:18.2pt;z-index:251668480;mso-width-relative:page;mso-height-relative:page;" filled="f" stroked="f" coordsize="21600,21600" o:gfxdata="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CAdejVAAAACwEAAA8AAAAAAAAAAQAgAAAAIgAAAGRycy9kb3ducmV2LnhtbFBLAQIU&#10;ABQAAAAIAIdO4kBDGVhSaAIAALcEAAAOAAAAAAAAAAEAIAAAACQBAABkcnMvZTJvRG9jLnhtbFBL&#10;BQYAAAAABgAGAFkBAAD+BQAAAAA=&#10;">
                <v:fill on="f" focussize="0,0"/>
                <v:stroke on="f" weight="0.5pt" miterlimit="8" joinstyle="miter" dashstyle="dash"/>
                <v:imagedata o:title=""/>
                <o:lock v:ext="edit" aspectratio="f"/>
                <v:textbox>
                  <w:txbxContent>
                    <w:p w14:paraId="498830BD">
                      <w:pPr>
                        <w:ind w:left="0" w:leftChars="0" w:firstLine="0" w:firstLineChars="0"/>
                        <w:jc w:val="both"/>
                        <w:rPr>
                          <w:rFonts w:hint="default" w:eastAsia="宋体"/>
                          <w:sz w:val="18"/>
                          <w:szCs w:val="18"/>
                          <w:lang w:val="en-US" w:eastAsia="zh-CN"/>
                        </w:rPr>
                      </w:pPr>
                      <w:r>
                        <w:rPr>
                          <w:rFonts w:hint="eastAsia"/>
                          <w:sz w:val="18"/>
                          <w:szCs w:val="18"/>
                          <w:lang w:val="en-US" w:eastAsia="zh-CN"/>
                        </w:rPr>
                        <w:t>6</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1083310</wp:posOffset>
                </wp:positionH>
                <wp:positionV relativeFrom="paragraph">
                  <wp:posOffset>1262380</wp:posOffset>
                </wp:positionV>
                <wp:extent cx="231140" cy="3949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231140" cy="394970"/>
                        </a:xfrm>
                        <a:prstGeom prst="rect">
                          <a:avLst/>
                        </a:prstGeom>
                        <a:ln w="635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14:paraId="0386B2E6">
                            <w:pPr>
                              <w:ind w:left="0" w:leftChars="0" w:firstLine="0" w:firstLineChars="0"/>
                              <w:jc w:val="both"/>
                              <w:rPr>
                                <w:rFonts w:hint="default" w:eastAsia="宋体"/>
                                <w:sz w:val="18"/>
                                <w:szCs w:val="18"/>
                                <w:lang w:val="en-US" w:eastAsia="zh-CN"/>
                              </w:rPr>
                            </w:pPr>
                            <w:r>
                              <w:rPr>
                                <w:rFonts w:hint="eastAsia"/>
                                <w:sz w:val="18"/>
                                <w:szCs w:val="18"/>
                                <w:lang w:val="en-US" w:eastAsia="zh-CN"/>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5.3pt;margin-top:99.4pt;height:31.1pt;width:18.2pt;z-index:251667456;mso-width-relative:page;mso-height-relative:page;" filled="f" stroked="f" coordsize="21600,21600" o:gfxdata="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VFnPdtQAAAALAQAADwAAAAAAAAABACAAAAAiAAAAZHJzL2Rvd25yZXYueG1sUEsBAhQA&#10;FAAAAAgAh07iQA4Au+VoAgAAtwQAAA4AAAAAAAAAAQAgAAAAIwEAAGRycy9lMm9Eb2MueG1sUEsF&#10;BgAAAAAGAAYAWQEAAP0FAAAAAA==&#10;">
                <v:fill on="f" focussize="0,0"/>
                <v:stroke on="f" weight="0.5pt" miterlimit="8" joinstyle="miter" dashstyle="dash"/>
                <v:imagedata o:title=""/>
                <o:lock v:ext="edit" aspectratio="f"/>
                <v:textbox>
                  <w:txbxContent>
                    <w:p w14:paraId="0386B2E6">
                      <w:pPr>
                        <w:ind w:left="0" w:leftChars="0" w:firstLine="0" w:firstLineChars="0"/>
                        <w:jc w:val="both"/>
                        <w:rPr>
                          <w:rFonts w:hint="default" w:eastAsia="宋体"/>
                          <w:sz w:val="18"/>
                          <w:szCs w:val="18"/>
                          <w:lang w:val="en-US" w:eastAsia="zh-CN"/>
                        </w:rPr>
                      </w:pPr>
                      <w:r>
                        <w:rPr>
                          <w:rFonts w:hint="eastAsia"/>
                          <w:sz w:val="18"/>
                          <w:szCs w:val="18"/>
                          <w:lang w:val="en-US" w:eastAsia="zh-CN"/>
                        </w:rPr>
                        <w:t>5</w:t>
                      </w:r>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751205</wp:posOffset>
                </wp:positionH>
                <wp:positionV relativeFrom="paragraph">
                  <wp:posOffset>1181100</wp:posOffset>
                </wp:positionV>
                <wp:extent cx="231140" cy="394970"/>
                <wp:effectExtent l="0" t="0" r="0" b="0"/>
                <wp:wrapNone/>
                <wp:docPr id="9" name="文本框 9"/>
                <wp:cNvGraphicFramePr/>
                <a:graphic xmlns:a="http://schemas.openxmlformats.org/drawingml/2006/main">
                  <a:graphicData uri="http://schemas.microsoft.com/office/word/2010/wordprocessingShape">
                    <wps:wsp>
                      <wps:cNvSpPr txBox="1"/>
                      <wps:spPr>
                        <a:xfrm>
                          <a:off x="0" y="0"/>
                          <a:ext cx="231140" cy="394970"/>
                        </a:xfrm>
                        <a:prstGeom prst="rect">
                          <a:avLst/>
                        </a:prstGeom>
                        <a:ln w="635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14:paraId="42053A56">
                            <w:pPr>
                              <w:ind w:left="0" w:leftChars="0" w:firstLine="0" w:firstLineChars="0"/>
                              <w:jc w:val="both"/>
                              <w:rPr>
                                <w:rFonts w:hint="default" w:eastAsia="宋体"/>
                                <w:sz w:val="18"/>
                                <w:szCs w:val="18"/>
                                <w:lang w:val="en-US" w:eastAsia="zh-CN"/>
                              </w:rPr>
                            </w:pPr>
                            <w:r>
                              <w:rPr>
                                <w:rFonts w:hint="eastAsia"/>
                                <w:sz w:val="18"/>
                                <w:szCs w:val="18"/>
                                <w:lang w:val="en-US" w:eastAsia="zh-CN"/>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15pt;margin-top:93pt;height:31.1pt;width:18.2pt;z-index:251666432;mso-width-relative:page;mso-height-relative:page;" filled="f" stroked="f" coordsize="21600,21600" o:gfxdata="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O+9H9NQAAAALAQAADwAAAAAAAAABACAAAAAiAAAAZHJzL2Rvd25yZXYueG1sUEsBAhQA&#10;FAAAAAgAh07iQLnXkDtoAgAAtQQAAA4AAAAAAAAAAQAgAAAAIwEAAGRycy9lMm9Eb2MueG1sUEsF&#10;BgAAAAAGAAYAWQEAAP0FAAAAAA==&#10;">
                <v:fill on="f" focussize="0,0"/>
                <v:stroke on="f" weight="0.5pt" miterlimit="8" joinstyle="miter" dashstyle="dash"/>
                <v:imagedata o:title=""/>
                <o:lock v:ext="edit" aspectratio="f"/>
                <v:textbox>
                  <w:txbxContent>
                    <w:p w14:paraId="42053A56">
                      <w:pPr>
                        <w:ind w:left="0" w:leftChars="0" w:firstLine="0" w:firstLineChars="0"/>
                        <w:jc w:val="both"/>
                        <w:rPr>
                          <w:rFonts w:hint="default" w:eastAsia="宋体"/>
                          <w:sz w:val="18"/>
                          <w:szCs w:val="18"/>
                          <w:lang w:val="en-US" w:eastAsia="zh-CN"/>
                        </w:rPr>
                      </w:pPr>
                      <w:r>
                        <w:rPr>
                          <w:rFonts w:hint="eastAsia"/>
                          <w:sz w:val="18"/>
                          <w:szCs w:val="18"/>
                          <w:lang w:val="en-US" w:eastAsia="zh-CN"/>
                        </w:rPr>
                        <w:t>4</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5180330</wp:posOffset>
                </wp:positionH>
                <wp:positionV relativeFrom="paragraph">
                  <wp:posOffset>1000125</wp:posOffset>
                </wp:positionV>
                <wp:extent cx="231140" cy="39497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231140" cy="394970"/>
                        </a:xfrm>
                        <a:prstGeom prst="rect">
                          <a:avLst/>
                        </a:prstGeom>
                        <a:ln w="635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14:paraId="15D7572B">
                            <w:pPr>
                              <w:ind w:left="0" w:leftChars="0" w:firstLine="0" w:firstLineChars="0"/>
                              <w:jc w:val="both"/>
                              <w:rPr>
                                <w:rFonts w:hint="default" w:eastAsia="宋体"/>
                                <w:sz w:val="18"/>
                                <w:szCs w:val="18"/>
                                <w:lang w:val="en-US" w:eastAsia="zh-CN"/>
                              </w:rPr>
                            </w:pPr>
                            <w:r>
                              <w:rPr>
                                <w:rFonts w:hint="eastAsia"/>
                                <w:sz w:val="18"/>
                                <w:szCs w:val="18"/>
                                <w:lang w:val="en-US" w:eastAsia="zh-CN"/>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7.9pt;margin-top:78.75pt;height:31.1pt;width:18.2pt;z-index:251665408;mso-width-relative:page;mso-height-relative:page;" filled="f" stroked="f" coordsize="21600,21600" o:gfxdata="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dijzFNYAAAALAQAADwAAAAAAAAABACAAAAAiAAAAZHJzL2Rvd25yZXYueG1sUEsB&#10;AhQAFAAAAAgAh07iQAW4xFFpAgAAtwQAAA4AAAAAAAAAAQAgAAAAJQEAAGRycy9lMm9Eb2MueG1s&#10;UEsFBgAAAAAGAAYAWQEAAAAGAAAAAA==&#10;">
                <v:fill on="f" focussize="0,0"/>
                <v:stroke on="f" weight="0.5pt" miterlimit="8" joinstyle="miter" dashstyle="dash"/>
                <v:imagedata o:title=""/>
                <o:lock v:ext="edit" aspectratio="f"/>
                <v:textbox>
                  <w:txbxContent>
                    <w:p w14:paraId="15D7572B">
                      <w:pPr>
                        <w:ind w:left="0" w:leftChars="0" w:firstLine="0" w:firstLineChars="0"/>
                        <w:jc w:val="both"/>
                        <w:rPr>
                          <w:rFonts w:hint="default" w:eastAsia="宋体"/>
                          <w:sz w:val="18"/>
                          <w:szCs w:val="18"/>
                          <w:lang w:val="en-US" w:eastAsia="zh-CN"/>
                        </w:rPr>
                      </w:pPr>
                      <w:r>
                        <w:rPr>
                          <w:rFonts w:hint="eastAsia"/>
                          <w:sz w:val="18"/>
                          <w:szCs w:val="18"/>
                          <w:lang w:val="en-US" w:eastAsia="zh-CN"/>
                        </w:rPr>
                        <w:t>8</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541655</wp:posOffset>
                </wp:positionH>
                <wp:positionV relativeFrom="paragraph">
                  <wp:posOffset>1071880</wp:posOffset>
                </wp:positionV>
                <wp:extent cx="231140" cy="394970"/>
                <wp:effectExtent l="0" t="0" r="0" b="0"/>
                <wp:wrapNone/>
                <wp:docPr id="7" name="文本框 7"/>
                <wp:cNvGraphicFramePr/>
                <a:graphic xmlns:a="http://schemas.openxmlformats.org/drawingml/2006/main">
                  <a:graphicData uri="http://schemas.microsoft.com/office/word/2010/wordprocessingShape">
                    <wps:wsp>
                      <wps:cNvSpPr txBox="1"/>
                      <wps:spPr>
                        <a:xfrm>
                          <a:off x="0" y="0"/>
                          <a:ext cx="231140" cy="394970"/>
                        </a:xfrm>
                        <a:prstGeom prst="rect">
                          <a:avLst/>
                        </a:prstGeom>
                        <a:ln w="635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14:paraId="0EEDEC86">
                            <w:pPr>
                              <w:ind w:left="0" w:leftChars="0" w:firstLine="0" w:firstLineChars="0"/>
                              <w:jc w:val="both"/>
                              <w:rPr>
                                <w:rFonts w:hint="default" w:eastAsia="宋体"/>
                                <w:sz w:val="18"/>
                                <w:szCs w:val="18"/>
                                <w:lang w:val="en-US" w:eastAsia="zh-CN"/>
                              </w:rPr>
                            </w:pPr>
                            <w:r>
                              <w:rPr>
                                <w:rFonts w:hint="eastAsia"/>
                                <w:sz w:val="18"/>
                                <w:szCs w:val="18"/>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65pt;margin-top:84.4pt;height:31.1pt;width:18.2pt;z-index:251664384;mso-width-relative:page;mso-height-relative:page;" filled="f" stroked="f" coordsize="21600,21600" o:gfxdata="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Ug8nI1QAAAAoBAAAPAAAAAAAAAAEAIAAAACIAAABkcnMvZG93bnJldi54bWxQSwEC&#10;FAAUAAAACACHTuJAEerQ8mkCAAC1BAAADgAAAAAAAAABACAAAAAkAQAAZHJzL2Uyb0RvYy54bWxQ&#10;SwUGAAAAAAYABgBZAQAA/wUAAAAA&#10;">
                <v:fill on="f" focussize="0,0"/>
                <v:stroke on="f" weight="0.5pt" miterlimit="8" joinstyle="miter" dashstyle="dash"/>
                <v:imagedata o:title=""/>
                <o:lock v:ext="edit" aspectratio="f"/>
                <v:textbox>
                  <w:txbxContent>
                    <w:p w14:paraId="0EEDEC86">
                      <w:pPr>
                        <w:ind w:left="0" w:leftChars="0" w:firstLine="0" w:firstLineChars="0"/>
                        <w:jc w:val="both"/>
                        <w:rPr>
                          <w:rFonts w:hint="default" w:eastAsia="宋体"/>
                          <w:sz w:val="18"/>
                          <w:szCs w:val="18"/>
                          <w:lang w:val="en-US" w:eastAsia="zh-CN"/>
                        </w:rPr>
                      </w:pPr>
                      <w:r>
                        <w:rPr>
                          <w:rFonts w:hint="eastAsia"/>
                          <w:sz w:val="18"/>
                          <w:szCs w:val="18"/>
                          <w:lang w:val="en-US" w:eastAsia="zh-CN"/>
                        </w:rPr>
                        <w:t>3</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4942840</wp:posOffset>
                </wp:positionH>
                <wp:positionV relativeFrom="paragraph">
                  <wp:posOffset>892175</wp:posOffset>
                </wp:positionV>
                <wp:extent cx="231140" cy="39497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1140" cy="394970"/>
                        </a:xfrm>
                        <a:prstGeom prst="rect">
                          <a:avLst/>
                        </a:prstGeom>
                        <a:ln w="635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14:paraId="230D49EE">
                            <w:pPr>
                              <w:ind w:left="0" w:leftChars="0" w:firstLine="0" w:firstLineChars="0"/>
                              <w:jc w:val="both"/>
                              <w:rPr>
                                <w:rFonts w:hint="default" w:eastAsia="宋体"/>
                                <w:sz w:val="18"/>
                                <w:szCs w:val="18"/>
                                <w:lang w:val="en-US" w:eastAsia="zh-CN"/>
                              </w:rPr>
                            </w:pPr>
                            <w:r>
                              <w:rPr>
                                <w:rFonts w:hint="eastAsia"/>
                                <w:sz w:val="18"/>
                                <w:szCs w:val="18"/>
                                <w:lang w:val="en-US" w:eastAsia="zh-CN"/>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9.2pt;margin-top:70.25pt;height:31.1pt;width:18.2pt;z-index:251663360;mso-width-relative:page;mso-height-relative:page;" filled="f" stroked="f" coordsize="21600,21600" o:gfxdata="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egbo/1QAAAAsBAAAPAAAAAAAAAAEAIAAAACIAAABkcnMvZG93bnJldi54bWxQSwEC&#10;FAAUAAAACACHTuJAe8f30WkCAAC3BAAADgAAAAAAAAABACAAAAAkAQAAZHJzL2Uyb0RvYy54bWxQ&#10;SwUGAAAAAAYABgBZAQAA/wUAAAAA&#10;">
                <v:fill on="f" focussize="0,0"/>
                <v:stroke on="f" weight="0.5pt" miterlimit="8" joinstyle="miter" dashstyle="dash"/>
                <v:imagedata o:title=""/>
                <o:lock v:ext="edit" aspectratio="f"/>
                <v:textbox>
                  <w:txbxContent>
                    <w:p w14:paraId="230D49EE">
                      <w:pPr>
                        <w:ind w:left="0" w:leftChars="0" w:firstLine="0" w:firstLineChars="0"/>
                        <w:jc w:val="both"/>
                        <w:rPr>
                          <w:rFonts w:hint="default" w:eastAsia="宋体"/>
                          <w:sz w:val="18"/>
                          <w:szCs w:val="18"/>
                          <w:lang w:val="en-US" w:eastAsia="zh-CN"/>
                        </w:rPr>
                      </w:pPr>
                      <w:r>
                        <w:rPr>
                          <w:rFonts w:hint="eastAsia"/>
                          <w:sz w:val="18"/>
                          <w:szCs w:val="18"/>
                          <w:lang w:val="en-US" w:eastAsia="zh-CN"/>
                        </w:rPr>
                        <w:t>9</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946785</wp:posOffset>
                </wp:positionV>
                <wp:extent cx="231140" cy="39497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31140" cy="394970"/>
                        </a:xfrm>
                        <a:prstGeom prst="rect">
                          <a:avLst/>
                        </a:prstGeom>
                        <a:ln w="635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14:paraId="19F42337">
                            <w:pPr>
                              <w:ind w:left="0" w:leftChars="0" w:firstLine="0" w:firstLineChars="0"/>
                              <w:jc w:val="both"/>
                              <w:rPr>
                                <w:rFonts w:hint="default" w:eastAsia="宋体"/>
                                <w:sz w:val="18"/>
                                <w:szCs w:val="18"/>
                                <w:lang w:val="en-US" w:eastAsia="zh-CN"/>
                              </w:rPr>
                            </w:pPr>
                            <w:r>
                              <w:rPr>
                                <w:rFonts w:hint="eastAsia"/>
                                <w:sz w:val="18"/>
                                <w:szCs w:val="18"/>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5pt;margin-top:74.55pt;height:31.1pt;width:18.2pt;z-index:251662336;mso-width-relative:page;mso-height-relative:page;" filled="f" stroked="f" coordsize="21600,21600" o:gfxdata="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tPhw3NUAAAAJAQAADwAAAAAAAAABACAAAAAiAAAAZHJzL2Rvd25yZXYueG1sUEsBAhQA&#10;FAAAAAgAh07iQDX35YhnAgAAtwQAAA4AAAAAAAAAAQAgAAAAJAEAAGRycy9lMm9Eb2MueG1sUEsF&#10;BgAAAAAGAAYAWQEAAP0FAAAAAA==&#10;">
                <v:fill on="f" focussize="0,0"/>
                <v:stroke on="f" weight="0.5pt" miterlimit="8" joinstyle="miter" dashstyle="dash"/>
                <v:imagedata o:title=""/>
                <o:lock v:ext="edit" aspectratio="f"/>
                <v:textbox>
                  <w:txbxContent>
                    <w:p w14:paraId="19F42337">
                      <w:pPr>
                        <w:ind w:left="0" w:leftChars="0" w:firstLine="0" w:firstLineChars="0"/>
                        <w:jc w:val="both"/>
                        <w:rPr>
                          <w:rFonts w:hint="default" w:eastAsia="宋体"/>
                          <w:sz w:val="18"/>
                          <w:szCs w:val="18"/>
                          <w:lang w:val="en-US" w:eastAsia="zh-CN"/>
                        </w:rPr>
                      </w:pPr>
                      <w:r>
                        <w:rPr>
                          <w:rFonts w:hint="eastAsia"/>
                          <w:sz w:val="18"/>
                          <w:szCs w:val="18"/>
                          <w:lang w:val="en-US" w:eastAsia="zh-CN"/>
                        </w:rPr>
                        <w:t>2</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386715</wp:posOffset>
                </wp:positionH>
                <wp:positionV relativeFrom="paragraph">
                  <wp:posOffset>272415</wp:posOffset>
                </wp:positionV>
                <wp:extent cx="221615" cy="356870"/>
                <wp:effectExtent l="0" t="0" r="0" b="0"/>
                <wp:wrapNone/>
                <wp:docPr id="3" name="文本框 3"/>
                <wp:cNvGraphicFramePr/>
                <a:graphic xmlns:a="http://schemas.openxmlformats.org/drawingml/2006/main">
                  <a:graphicData uri="http://schemas.microsoft.com/office/word/2010/wordprocessingShape">
                    <wps:wsp>
                      <wps:cNvSpPr txBox="1"/>
                      <wps:spPr>
                        <a:xfrm>
                          <a:off x="0" y="0"/>
                          <a:ext cx="221615" cy="356870"/>
                        </a:xfrm>
                        <a:prstGeom prst="rect">
                          <a:avLst/>
                        </a:prstGeom>
                        <a:ln w="635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14:paraId="60B00E12">
                            <w:pPr>
                              <w:ind w:left="0" w:leftChars="0" w:firstLine="0" w:firstLineChars="0"/>
                              <w:jc w:val="both"/>
                              <w:rPr>
                                <w:rFonts w:hint="default" w:eastAsia="宋体"/>
                                <w:sz w:val="18"/>
                                <w:szCs w:val="18"/>
                                <w:lang w:val="en-US" w:eastAsia="zh-CN"/>
                              </w:rPr>
                            </w:pPr>
                            <w:r>
                              <w:rPr>
                                <w:rFonts w:hint="eastAsia"/>
                                <w:sz w:val="18"/>
                                <w:szCs w:val="18"/>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45pt;margin-top:21.45pt;height:28.1pt;width:17.45pt;z-index:251661312;mso-width-relative:page;mso-height-relative:page;" filled="f" stroked="f" coordsize="21600,21600" o:gfxdata="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4hsZvSAAAABwEAAA8AAAAAAAAAAQAgAAAAIgAAAGRycy9kb3ducmV2LnhtbFBLAQIU&#10;ABQAAAAIAIdO4kDkFGVeawIAALUEAAAOAAAAAAAAAAEAIAAAACEBAABkcnMvZTJvRG9jLnhtbFBL&#10;BQYAAAAABgAGAFkBAAD+BQAAAAA=&#10;">
                <v:fill on="f" focussize="0,0"/>
                <v:stroke on="f" weight="0.5pt" miterlimit="8" joinstyle="miter" dashstyle="dash"/>
                <v:imagedata o:title=""/>
                <o:lock v:ext="edit" aspectratio="f"/>
                <v:textbox>
                  <w:txbxContent>
                    <w:p w14:paraId="60B00E12">
                      <w:pPr>
                        <w:ind w:left="0" w:leftChars="0" w:firstLine="0" w:firstLineChars="0"/>
                        <w:jc w:val="both"/>
                        <w:rPr>
                          <w:rFonts w:hint="default" w:eastAsia="宋体"/>
                          <w:sz w:val="18"/>
                          <w:szCs w:val="18"/>
                          <w:lang w:val="en-US" w:eastAsia="zh-CN"/>
                        </w:rPr>
                      </w:pPr>
                      <w:r>
                        <w:rPr>
                          <w:rFonts w:hint="eastAsia"/>
                          <w:sz w:val="18"/>
                          <w:szCs w:val="18"/>
                          <w:lang w:val="en-US" w:eastAsia="zh-CN"/>
                        </w:rPr>
                        <w:t>1</w:t>
                      </w:r>
                    </w:p>
                  </w:txbxContent>
                </v:textbox>
              </v:shape>
            </w:pict>
          </mc:Fallback>
        </mc:AlternateContent>
      </w:r>
      <w:r>
        <w:drawing>
          <wp:inline distT="0" distB="0" distL="0" distR="0">
            <wp:extent cx="5204460" cy="2606675"/>
            <wp:effectExtent l="0" t="0" r="15240" b="3175"/>
            <wp:docPr id="12807591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759161" name="图片 1"/>
                    <pic:cNvPicPr>
                      <a:picLocks noChangeAspect="1"/>
                    </pic:cNvPicPr>
                  </pic:nvPicPr>
                  <pic:blipFill>
                    <a:blip r:embed="rId17"/>
                    <a:stretch>
                      <a:fillRect/>
                    </a:stretch>
                  </pic:blipFill>
                  <pic:spPr>
                    <a:xfrm>
                      <a:off x="0" y="0"/>
                      <a:ext cx="5204460" cy="2615417"/>
                    </a:xfrm>
                    <a:prstGeom prst="rect">
                      <a:avLst/>
                    </a:prstGeom>
                  </pic:spPr>
                </pic:pic>
              </a:graphicData>
            </a:graphic>
          </wp:inline>
        </w:drawing>
      </w:r>
    </w:p>
    <w:p w14:paraId="34A6D88A">
      <w:pPr>
        <w:pStyle w:val="56"/>
        <w:ind w:firstLine="360"/>
        <w:rPr>
          <w:sz w:val="18"/>
          <w:szCs w:val="18"/>
        </w:rPr>
      </w:pPr>
      <w:r>
        <w:rPr>
          <w:rFonts w:hint="eastAsia"/>
          <w:sz w:val="18"/>
          <w:szCs w:val="18"/>
        </w:rPr>
        <w:t>标引序号说明：</w:t>
      </w:r>
    </w:p>
    <w:p w14:paraId="41F1B64E">
      <w:pPr>
        <w:pStyle w:val="56"/>
        <w:tabs>
          <w:tab w:val="left" w:pos="4536"/>
        </w:tabs>
        <w:ind w:firstLine="360"/>
        <w:rPr>
          <w:sz w:val="18"/>
          <w:szCs w:val="18"/>
        </w:rPr>
      </w:pPr>
      <w:r>
        <w:rPr>
          <w:rFonts w:hint="eastAsia"/>
          <w:sz w:val="18"/>
          <w:szCs w:val="18"/>
        </w:rPr>
        <w:t>1—上翼板；</w:t>
      </w:r>
      <w:r>
        <w:rPr>
          <w:sz w:val="18"/>
          <w:szCs w:val="18"/>
        </w:rPr>
        <w:tab/>
      </w:r>
      <w:r>
        <w:rPr>
          <w:rFonts w:hint="eastAsia"/>
          <w:sz w:val="18"/>
          <w:szCs w:val="18"/>
        </w:rPr>
        <w:t>6—上部吊装角件；</w:t>
      </w:r>
    </w:p>
    <w:p w14:paraId="602F4318">
      <w:pPr>
        <w:pStyle w:val="56"/>
        <w:tabs>
          <w:tab w:val="left" w:pos="4536"/>
        </w:tabs>
        <w:ind w:firstLine="360"/>
        <w:rPr>
          <w:sz w:val="18"/>
          <w:szCs w:val="18"/>
        </w:rPr>
      </w:pPr>
      <w:r>
        <w:rPr>
          <w:rFonts w:hint="eastAsia"/>
          <w:sz w:val="18"/>
          <w:szCs w:val="18"/>
        </w:rPr>
        <w:t>2—下翼板；</w:t>
      </w:r>
      <w:r>
        <w:rPr>
          <w:sz w:val="18"/>
          <w:szCs w:val="18"/>
        </w:rPr>
        <w:tab/>
      </w:r>
      <w:r>
        <w:rPr>
          <w:rFonts w:hint="eastAsia"/>
          <w:sz w:val="18"/>
          <w:szCs w:val="18"/>
        </w:rPr>
        <w:t>7—下部吊装角件；</w:t>
      </w:r>
    </w:p>
    <w:p w14:paraId="1DD8BE6A">
      <w:pPr>
        <w:pStyle w:val="56"/>
        <w:tabs>
          <w:tab w:val="left" w:pos="4536"/>
        </w:tabs>
        <w:ind w:firstLine="360"/>
        <w:rPr>
          <w:sz w:val="18"/>
          <w:szCs w:val="18"/>
        </w:rPr>
      </w:pPr>
      <w:r>
        <w:rPr>
          <w:rFonts w:hint="eastAsia"/>
          <w:sz w:val="18"/>
          <w:szCs w:val="18"/>
        </w:rPr>
        <w:t>3—腹板；</w:t>
      </w:r>
      <w:r>
        <w:rPr>
          <w:sz w:val="18"/>
          <w:szCs w:val="18"/>
        </w:rPr>
        <w:tab/>
      </w:r>
      <w:r>
        <w:rPr>
          <w:rFonts w:hint="eastAsia"/>
          <w:sz w:val="18"/>
          <w:szCs w:val="18"/>
        </w:rPr>
        <w:t xml:space="preserve">8—支撑筋板； </w:t>
      </w:r>
    </w:p>
    <w:p w14:paraId="1F0DB78F">
      <w:pPr>
        <w:pStyle w:val="56"/>
        <w:tabs>
          <w:tab w:val="left" w:pos="4536"/>
        </w:tabs>
        <w:ind w:firstLine="360"/>
        <w:rPr>
          <w:sz w:val="18"/>
          <w:szCs w:val="18"/>
        </w:rPr>
      </w:pPr>
      <w:r>
        <w:rPr>
          <w:rFonts w:hint="eastAsia"/>
          <w:sz w:val="18"/>
          <w:szCs w:val="18"/>
        </w:rPr>
        <w:t>4—上部连接角件；</w:t>
      </w:r>
      <w:r>
        <w:rPr>
          <w:sz w:val="18"/>
          <w:szCs w:val="18"/>
        </w:rPr>
        <w:tab/>
      </w:r>
      <w:r>
        <w:rPr>
          <w:rFonts w:hint="eastAsia"/>
          <w:sz w:val="18"/>
          <w:szCs w:val="18"/>
        </w:rPr>
        <w:t>9—纵梁。</w:t>
      </w:r>
    </w:p>
    <w:p w14:paraId="6C47B4A0">
      <w:pPr>
        <w:pStyle w:val="56"/>
        <w:ind w:firstLine="360"/>
      </w:pPr>
      <w:r>
        <w:rPr>
          <w:rFonts w:hint="eastAsia"/>
          <w:sz w:val="18"/>
          <w:szCs w:val="18"/>
        </w:rPr>
        <w:t>5—下部连接角件；</w:t>
      </w:r>
    </w:p>
    <w:p w14:paraId="31B57237">
      <w:pPr>
        <w:pStyle w:val="114"/>
        <w:spacing w:before="120" w:after="120"/>
      </w:pPr>
      <w:r>
        <w:rPr>
          <w:rFonts w:hint="eastAsia"/>
        </w:rPr>
        <w:t>结构示意图</w:t>
      </w:r>
    </w:p>
    <w:p w14:paraId="4D8D4D97">
      <w:pPr>
        <w:pStyle w:val="162"/>
        <w:ind w:left="0"/>
      </w:pPr>
      <w:r>
        <w:rPr>
          <w:rFonts w:hint="eastAsia"/>
        </w:rPr>
        <w:t>转换平台式集装箱的下部应设置用于系固于船舶的下部连接角件，其位置与系列1集装箱的角件位置相同，并沿转换平台式集装箱横向布设，每个箱位包含4个下部连接角件，其安装尺寸和公差应满足本文件7.4条要求。</w:t>
      </w:r>
    </w:p>
    <w:p w14:paraId="40E6774B">
      <w:pPr>
        <w:pStyle w:val="162"/>
        <w:ind w:left="0"/>
      </w:pPr>
      <w:r>
        <w:rPr>
          <w:rFonts w:hint="eastAsia"/>
        </w:rPr>
        <w:t>转换平台式集装箱下部</w:t>
      </w:r>
      <w:bookmarkStart w:id="62" w:name="OLE_LINK3"/>
      <w:r>
        <w:rPr>
          <w:rFonts w:hint="eastAsia"/>
        </w:rPr>
        <w:t>一般</w:t>
      </w:r>
      <w:bookmarkEnd w:id="62"/>
      <w:r>
        <w:rPr>
          <w:rFonts w:hint="eastAsia"/>
        </w:rPr>
        <w:t>设置N个系列1集装箱的完整箱位，N一般不超过4（注：其中N为系列1集装箱箱位的数量）。</w:t>
      </w:r>
    </w:p>
    <w:p w14:paraId="647B3F20">
      <w:pPr>
        <w:pStyle w:val="162"/>
        <w:ind w:left="0"/>
      </w:pPr>
      <w:r>
        <w:rPr>
          <w:rFonts w:hint="eastAsia"/>
        </w:rPr>
        <w:t>转换平台式集装箱的上部一般设置N-1个系列2集装箱的完</w:t>
      </w:r>
      <w:bookmarkStart w:id="63" w:name="OLE_LINK2"/>
      <w:r>
        <w:rPr>
          <w:rFonts w:hint="eastAsia"/>
        </w:rPr>
        <w:t>整箱位，在完整箱位一侧或两侧可分别设置1个不完整系列2集装箱箱位。</w:t>
      </w:r>
      <w:bookmarkEnd w:id="63"/>
    </w:p>
    <w:p w14:paraId="18EB8319">
      <w:pPr>
        <w:pStyle w:val="162"/>
        <w:ind w:left="0"/>
      </w:pPr>
      <w:r>
        <w:rPr>
          <w:rFonts w:hint="eastAsia"/>
        </w:rPr>
        <w:t>转换平台式集装箱一般在船上组合使用，需根据船舶宽度确定结构组合的型式。常见的转换平台式集装箱的结构组合和的结构型式见附录A。</w:t>
      </w:r>
    </w:p>
    <w:p w14:paraId="2EB154B9">
      <w:pPr>
        <w:pStyle w:val="162"/>
        <w:ind w:left="0"/>
      </w:pPr>
      <w:r>
        <w:rPr>
          <w:rFonts w:hint="eastAsia"/>
        </w:rPr>
        <w:t>转换平台式集装箱不应设置叉槽。</w:t>
      </w:r>
    </w:p>
    <w:p w14:paraId="7FCDF2DB">
      <w:pPr>
        <w:pStyle w:val="104"/>
        <w:spacing w:before="240" w:after="240"/>
        <w:ind w:left="0"/>
      </w:pPr>
      <w:bookmarkStart w:id="64" w:name="_Toc233641736"/>
      <w:r>
        <w:rPr>
          <w:rFonts w:hint="eastAsia"/>
        </w:rPr>
        <w:t>通用要求</w:t>
      </w:r>
      <w:bookmarkEnd w:id="64"/>
    </w:p>
    <w:p w14:paraId="36F4AD35">
      <w:pPr>
        <w:pStyle w:val="162"/>
        <w:ind w:left="0"/>
      </w:pPr>
      <w:r>
        <w:rPr>
          <w:rFonts w:hint="eastAsia"/>
        </w:rPr>
        <w:t>转换平台式集装箱应满足GB/T 5338.5和JT/T 1172.5标准中的相关要求。</w:t>
      </w:r>
    </w:p>
    <w:p w14:paraId="63A5A571">
      <w:pPr>
        <w:pStyle w:val="162"/>
        <w:ind w:left="0"/>
      </w:pPr>
      <w:r>
        <w:rPr>
          <w:rFonts w:hint="eastAsia"/>
        </w:rPr>
        <w:t>5.2  转换平台式集装箱用于船舶装运20英尺系列2集装箱，并通过所有下部连接角件栓固于系列1集装箱的箱位上。</w:t>
      </w:r>
    </w:p>
    <w:p w14:paraId="64C8BC10">
      <w:pPr>
        <w:pStyle w:val="162"/>
        <w:ind w:left="0"/>
      </w:pPr>
      <w:r>
        <w:rPr>
          <w:rFonts w:hint="eastAsia"/>
        </w:rPr>
        <w:t>转换平台式集装箱应根据船型和船舶宽度确定组合形式和数量，应考虑其组合的便捷性、合理性。</w:t>
      </w:r>
    </w:p>
    <w:p w14:paraId="03E38DC1">
      <w:pPr>
        <w:pStyle w:val="162"/>
        <w:ind w:left="0"/>
      </w:pPr>
      <w:r>
        <w:rPr>
          <w:rFonts w:hint="eastAsia"/>
        </w:rPr>
        <w:t xml:space="preserve">转换平台式集装箱的设计应能承受其上的集装箱在运输过程中所产生的全部作用力（见第6章）。 </w:t>
      </w:r>
    </w:p>
    <w:p w14:paraId="4BC1D3B8">
      <w:pPr>
        <w:pStyle w:val="162"/>
        <w:ind w:left="0"/>
      </w:pPr>
      <w:r>
        <w:rPr>
          <w:rFonts w:hint="eastAsia"/>
        </w:rPr>
        <w:t>转换平台式集装箱应具备仅由下部连接角件支撑和承受载荷的能力。</w:t>
      </w:r>
    </w:p>
    <w:p w14:paraId="65E412EE">
      <w:pPr>
        <w:pStyle w:val="162"/>
        <w:ind w:left="0"/>
      </w:pPr>
      <w:r>
        <w:rPr>
          <w:rFonts w:hint="eastAsia"/>
        </w:rPr>
        <w:t>转换平台式集装箱应能适用于-40℃至 70℃的环境温度。</w:t>
      </w:r>
    </w:p>
    <w:p w14:paraId="79B73389">
      <w:pPr>
        <w:pStyle w:val="162"/>
        <w:ind w:left="0"/>
      </w:pPr>
      <w:r>
        <w:rPr>
          <w:rFonts w:hint="eastAsia"/>
        </w:rPr>
        <w:t>转换平台式集装箱用上、下部连接角件和上、下部吊装角件均应使用集装箱标准角件，角件的技术要求应满足</w:t>
      </w:r>
      <w:bookmarkStart w:id="65" w:name="OLE_LINK4"/>
      <w:r>
        <w:rPr>
          <w:rFonts w:hint="eastAsia"/>
        </w:rPr>
        <w:t>GB/T 1835</w:t>
      </w:r>
      <w:bookmarkEnd w:id="65"/>
      <w:r>
        <w:rPr>
          <w:rFonts w:hint="eastAsia"/>
        </w:rPr>
        <w:t>的要求。位于转换平台式集装箱中间位置的角件一般应采用GB/T 1835中的中间角件。</w:t>
      </w:r>
    </w:p>
    <w:p w14:paraId="04411160">
      <w:pPr>
        <w:pStyle w:val="162"/>
        <w:ind w:left="0"/>
      </w:pPr>
      <w:r>
        <w:rPr>
          <w:rFonts w:hint="eastAsia"/>
        </w:rPr>
        <w:t>转换平台式集装箱用材料应满足使用环境温度的要求，且应具有良好的焊接性能。</w:t>
      </w:r>
    </w:p>
    <w:p w14:paraId="4F443411">
      <w:pPr>
        <w:pStyle w:val="162"/>
        <w:ind w:left="0"/>
      </w:pPr>
      <w:r>
        <w:rPr>
          <w:rFonts w:hint="eastAsia"/>
        </w:rPr>
        <w:t>转换平台式集装箱用材料应进行夏比V型缺口冲击试验，试验温度为-20℃，最小平均冲击功为27J，且满足所适用标准的要求。</w:t>
      </w:r>
    </w:p>
    <w:p w14:paraId="068E3FC1">
      <w:pPr>
        <w:pStyle w:val="162"/>
        <w:ind w:left="0"/>
      </w:pPr>
      <w:r>
        <w:rPr>
          <w:rFonts w:hint="eastAsia"/>
        </w:rPr>
        <w:t>转换平台式集装箱用材料应有材料质量证明书，材料质量证明书的内容应齐全、清晰，且有可以追溯的信息化标志及制造单位质量检验章。</w:t>
      </w:r>
    </w:p>
    <w:p w14:paraId="1A307ED8">
      <w:pPr>
        <w:pStyle w:val="162"/>
        <w:ind w:left="0"/>
      </w:pPr>
      <w:r>
        <w:rPr>
          <w:rFonts w:hint="eastAsia"/>
        </w:rPr>
        <w:t>转换平台式集装箱用焊接材料应与母材相近且强度不低于母材的材料。</w:t>
      </w:r>
    </w:p>
    <w:p w14:paraId="517EF2FE">
      <w:pPr>
        <w:pStyle w:val="162"/>
        <w:ind w:left="0"/>
      </w:pPr>
      <w:r>
        <w:rPr>
          <w:rFonts w:hint="eastAsia"/>
        </w:rPr>
        <w:t>转换平台式集装箱的每个系列2集装箱箱位的最大允许堆码载荷应不超过213360kg，且所有箱位的最大允许堆码载荷应相同。</w:t>
      </w:r>
    </w:p>
    <w:p w14:paraId="0E3CE1E7">
      <w:pPr>
        <w:pStyle w:val="162"/>
        <w:ind w:left="0"/>
      </w:pPr>
      <w:bookmarkStart w:id="66" w:name="OLE_LINK5"/>
      <w:r>
        <w:rPr>
          <w:rFonts w:hint="eastAsia"/>
        </w:rPr>
        <w:t>由多个转换平台式集装箱组成的联挂单元可</w:t>
      </w:r>
      <w:bookmarkEnd w:id="66"/>
      <w:r>
        <w:rPr>
          <w:rFonts w:hint="eastAsia"/>
        </w:rPr>
        <w:t>用于吊装和运输，采用吊装角件位置进行联挂连接；联挂单元的最大总重为30480kg，最大高度为2591mm。</w:t>
      </w:r>
    </w:p>
    <w:p w14:paraId="50B31669">
      <w:pPr>
        <w:pStyle w:val="162"/>
        <w:ind w:left="0"/>
      </w:pPr>
      <w:r>
        <w:rPr>
          <w:rFonts w:hint="eastAsia"/>
        </w:rPr>
        <w:t>转换平台式集装箱一般通过多用途转锁</w:t>
      </w:r>
      <w:bookmarkStart w:id="67" w:name="OLE_LINK52"/>
      <w:r>
        <w:rPr>
          <w:rFonts w:hint="eastAsia"/>
        </w:rPr>
        <w:t>联</w:t>
      </w:r>
      <w:bookmarkEnd w:id="67"/>
      <w:r>
        <w:rPr>
          <w:rFonts w:hint="eastAsia"/>
        </w:rPr>
        <w:t>挂成组，多用途转锁应满足GB/T 17382标准的要求。</w:t>
      </w:r>
    </w:p>
    <w:p w14:paraId="016F9C88">
      <w:pPr>
        <w:pStyle w:val="162"/>
        <w:ind w:left="0"/>
      </w:pPr>
      <w:r>
        <w:rPr>
          <w:rFonts w:hint="eastAsia"/>
        </w:rPr>
        <w:t>联挂单元可在船上堆叠运输，其上面的最大允许堆码重量为213360kg。</w:t>
      </w:r>
    </w:p>
    <w:p w14:paraId="1AEABBC3">
      <w:pPr>
        <w:pStyle w:val="104"/>
        <w:spacing w:before="240" w:after="240"/>
        <w:ind w:left="0"/>
      </w:pPr>
      <w:bookmarkStart w:id="68" w:name="_Toc233641737"/>
      <w:r>
        <w:rPr>
          <w:rFonts w:hint="eastAsia"/>
        </w:rPr>
        <w:t>性能</w:t>
      </w:r>
      <w:bookmarkEnd w:id="68"/>
    </w:p>
    <w:p w14:paraId="17C093CF">
      <w:pPr>
        <w:pStyle w:val="162"/>
        <w:ind w:left="0"/>
      </w:pPr>
      <w:r>
        <w:rPr>
          <w:rFonts w:hint="eastAsia"/>
        </w:rPr>
        <w:t>转换平台式集装箱应具有承受其上部所有集装箱在1.8g垂直惯性力作用下，且存在偏置状态时的堆叠能力。</w:t>
      </w:r>
    </w:p>
    <w:p w14:paraId="51F33A0D">
      <w:pPr>
        <w:pStyle w:val="162"/>
        <w:ind w:left="0"/>
      </w:pPr>
      <w:r>
        <w:rPr>
          <w:rFonts w:hint="eastAsia"/>
        </w:rPr>
        <w:t>转换平台式集装箱如连挂成组运输，吊装角件位置应能承受其上部集装箱在1.8g垂直惯性力作用下，且存在偏置状态时的堆叠能力。</w:t>
      </w:r>
    </w:p>
    <w:p w14:paraId="7B06D3FE">
      <w:pPr>
        <w:pStyle w:val="162"/>
        <w:ind w:left="0"/>
      </w:pPr>
      <w:r>
        <w:rPr>
          <w:rFonts w:hint="eastAsia"/>
        </w:rPr>
        <w:t>转换平台式集装箱应具备在空箱状态下承受由上部起吊角件垂直起吊的能力。</w:t>
      </w:r>
    </w:p>
    <w:p w14:paraId="4FFFBE38">
      <w:pPr>
        <w:pStyle w:val="162"/>
        <w:ind w:left="0"/>
      </w:pPr>
      <w:r>
        <w:rPr>
          <w:rFonts w:hint="eastAsia"/>
        </w:rPr>
        <w:t>转换平台式集装箱应能承受因船舶航行所产生的横向挤压力的能力。施加在每个箱位每个角件上的横向作用力可按150kN考虑。</w:t>
      </w:r>
    </w:p>
    <w:p w14:paraId="2131496E">
      <w:pPr>
        <w:pStyle w:val="162"/>
        <w:ind w:left="0"/>
      </w:pPr>
      <w:r>
        <w:rPr>
          <w:rFonts w:hint="eastAsia"/>
        </w:rPr>
        <w:t>转换平台式集装箱应能承受因船舶航行所产生的纵向挤压力的能力。施加在每个箱位每个角件上的纵向作用力可按75kN考虑。</w:t>
      </w:r>
    </w:p>
    <w:p w14:paraId="7ADAC7B1">
      <w:pPr>
        <w:pStyle w:val="162"/>
        <w:ind w:left="0"/>
      </w:pPr>
      <w:r>
        <w:rPr>
          <w:rFonts w:hint="eastAsia"/>
        </w:rPr>
        <w:t>转换平台式集装箱如联挂成组运输，应具备由上部吊装角件垂直吊的能力。</w:t>
      </w:r>
    </w:p>
    <w:p w14:paraId="362BBD20">
      <w:pPr>
        <w:pStyle w:val="162"/>
        <w:ind w:left="0"/>
      </w:pPr>
      <w:r>
        <w:rPr>
          <w:rFonts w:hint="eastAsia"/>
        </w:rPr>
        <w:t>转换平台式集装箱应通过试验验证本节6.1条至6.6条的各项要求，试验完成后任何部位均不得出现影响正常使用的永久变形和异状，其尺寸仍能满足栓固和载运作业的要求。转换平台式集装箱的试验可参考附录B进行。</w:t>
      </w:r>
    </w:p>
    <w:p w14:paraId="470336C9">
      <w:pPr>
        <w:pStyle w:val="162"/>
        <w:ind w:left="0"/>
      </w:pPr>
      <w:r>
        <w:rPr>
          <w:rFonts w:hint="eastAsia"/>
        </w:rPr>
        <w:t>转换平台式集装箱在所有箱位均达到最大允许负荷下，应能分别承受由其上部的集装箱引起的下列负荷：</w:t>
      </w:r>
    </w:p>
    <w:p w14:paraId="0EC50C4D">
      <w:pPr>
        <w:pStyle w:val="162"/>
        <w:numPr>
          <w:ilvl w:val="0"/>
          <w:numId w:val="0"/>
        </w:numPr>
      </w:pPr>
    </w:p>
    <w:p w14:paraId="6159A5C4">
      <w:pPr>
        <w:pStyle w:val="174"/>
      </w:pPr>
      <w:r>
        <w:rPr>
          <w:rFonts w:hint="eastAsia"/>
        </w:rPr>
        <w:t>横向：每个箱位上0.8倍总质量</w:t>
      </w:r>
      <w:bookmarkStart w:id="69" w:name="OLE_LINK43"/>
      <w:r>
        <w:rPr>
          <w:rFonts w:hint="eastAsia"/>
          <w:i/>
          <w:iCs/>
        </w:rPr>
        <w:t>P</w:t>
      </w:r>
      <w:r>
        <w:rPr>
          <w:rFonts w:hint="eastAsia"/>
          <w:i/>
          <w:iCs/>
          <w:vertAlign w:val="subscript"/>
        </w:rPr>
        <w:t>0</w:t>
      </w:r>
      <w:bookmarkEnd w:id="69"/>
      <w:r>
        <w:rPr>
          <w:rFonts w:hint="eastAsia"/>
        </w:rPr>
        <w:t>乘以重力引起的加速度（g）；</w:t>
      </w:r>
    </w:p>
    <w:p w14:paraId="47394DDC">
      <w:pPr>
        <w:pStyle w:val="174"/>
      </w:pPr>
      <w:r>
        <w:rPr>
          <w:rFonts w:hint="eastAsia"/>
        </w:rPr>
        <w:t>纵向：每个箱位上0.8倍总质量</w:t>
      </w:r>
      <w:r>
        <w:rPr>
          <w:rFonts w:hint="eastAsia"/>
          <w:i/>
          <w:iCs/>
        </w:rPr>
        <w:t>P</w:t>
      </w:r>
      <w:r>
        <w:rPr>
          <w:rFonts w:hint="eastAsia"/>
          <w:i/>
          <w:iCs/>
          <w:vertAlign w:val="subscript"/>
        </w:rPr>
        <w:t>0</w:t>
      </w:r>
      <w:r>
        <w:rPr>
          <w:rFonts w:hint="eastAsia"/>
        </w:rPr>
        <w:t>乘以重力引起加速度（g）；</w:t>
      </w:r>
    </w:p>
    <w:p w14:paraId="7C6CBBD9">
      <w:pPr>
        <w:pStyle w:val="174"/>
      </w:pPr>
      <w:r>
        <w:rPr>
          <w:rFonts w:hint="eastAsia"/>
        </w:rPr>
        <w:t>向下：每个箱位上1.8倍总质量</w:t>
      </w:r>
      <w:r>
        <w:rPr>
          <w:rFonts w:hint="eastAsia"/>
          <w:i/>
          <w:iCs/>
        </w:rPr>
        <w:t>P</w:t>
      </w:r>
      <w:r>
        <w:rPr>
          <w:rFonts w:hint="eastAsia"/>
          <w:i/>
          <w:iCs/>
          <w:vertAlign w:val="subscript"/>
        </w:rPr>
        <w:t>0</w:t>
      </w:r>
      <w:r>
        <w:rPr>
          <w:rFonts w:hint="eastAsia"/>
        </w:rPr>
        <w:t>乘以重力引起加速度（g）。</w:t>
      </w:r>
    </w:p>
    <w:p w14:paraId="726F663F">
      <w:pPr>
        <w:pStyle w:val="179"/>
      </w:pPr>
      <w:bookmarkStart w:id="70" w:name="OLE_LINK19"/>
    </w:p>
    <w:p w14:paraId="36B266D0">
      <w:pPr>
        <w:pStyle w:val="56"/>
        <w:ind w:firstLine="420"/>
      </w:pPr>
      <w:r>
        <w:rPr>
          <w:rFonts w:hint="eastAsia"/>
          <w:i/>
          <w:iCs/>
        </w:rPr>
        <w:t>P</w:t>
      </w:r>
      <w:bookmarkEnd w:id="70"/>
      <w:r>
        <w:rPr>
          <w:rFonts w:hint="eastAsia"/>
          <w:i/>
          <w:iCs/>
          <w:vertAlign w:val="subscript"/>
        </w:rPr>
        <w:t>0</w:t>
      </w:r>
      <w:r>
        <w:rPr>
          <w:i/>
          <w:iCs/>
        </w:rPr>
        <w:t xml:space="preserve"> </w:t>
      </w:r>
      <w:bookmarkStart w:id="71" w:name="OLE_LINK20"/>
      <w:r>
        <w:t>——</w:t>
      </w:r>
      <w:bookmarkEnd w:id="71"/>
      <w:r>
        <w:rPr>
          <w:rFonts w:hint="eastAsia"/>
        </w:rPr>
        <w:t>转换平台式集装箱上部单个箱位所允许运输的最大质量，系指上部每个箱位上所有集装箱营运总质量之和，kg，</w:t>
      </w:r>
      <w:r>
        <w:rPr>
          <w:rFonts w:hint="eastAsia"/>
          <w:i/>
          <w:iCs/>
        </w:rPr>
        <w:t>P</w:t>
      </w:r>
      <w:r>
        <w:rPr>
          <w:rFonts w:hint="eastAsia"/>
          <w:i/>
          <w:iCs/>
          <w:vertAlign w:val="subscript"/>
        </w:rPr>
        <w:t>0</w:t>
      </w:r>
      <w:r>
        <w:rPr>
          <w:rFonts w:hint="eastAsia"/>
        </w:rPr>
        <w:t>最大为213360；</w:t>
      </w:r>
    </w:p>
    <w:p w14:paraId="751F1100">
      <w:pPr>
        <w:pStyle w:val="56"/>
        <w:ind w:firstLine="420"/>
      </w:pPr>
      <w:r>
        <w:rPr>
          <w:rFonts w:hint="eastAsia"/>
        </w:rPr>
        <w:t>即：</w:t>
      </w:r>
      <m:oMath>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r>
          <m:rPr/>
          <w:rPr>
            <w:rFonts w:hint="eastAsia" w:ascii="Cambria Math" w:hAnsi="Cambria Math"/>
          </w:rPr>
          <m:t>n</m:t>
        </m:r>
        <m:r>
          <m:rPr/>
          <w:rPr>
            <w:rFonts w:ascii="Cambria Math" w:hAnsi="Cambria Math"/>
          </w:rPr>
          <m:t>R</m:t>
        </m:r>
      </m:oMath>
    </w:p>
    <w:p w14:paraId="43DC2C3A">
      <w:pPr>
        <w:pStyle w:val="56"/>
        <w:ind w:firstLine="420"/>
      </w:pPr>
      <w:r>
        <w:rPr>
          <w:rFonts w:hint="eastAsia"/>
          <w:i/>
          <w:iCs/>
        </w:rPr>
        <w:t xml:space="preserve">n </w:t>
      </w:r>
      <w:r>
        <w:t>——</w:t>
      </w:r>
      <w:r>
        <w:rPr>
          <w:rFonts w:hint="eastAsia"/>
        </w:rPr>
        <w:t>转换平台式集装箱上部单个箱位所允许运输的系列2集装箱的数量；</w:t>
      </w:r>
    </w:p>
    <w:p w14:paraId="70999764">
      <w:pPr>
        <w:pStyle w:val="56"/>
        <w:ind w:firstLine="420"/>
      </w:pPr>
      <w:r>
        <w:rPr>
          <w:rFonts w:hint="eastAsia"/>
          <w:i/>
          <w:iCs/>
        </w:rPr>
        <w:t>R</w:t>
      </w:r>
      <w:r>
        <w:rPr>
          <w:i/>
          <w:iCs/>
        </w:rPr>
        <w:t xml:space="preserve"> </w:t>
      </w:r>
      <w:r>
        <w:t>——</w:t>
      </w:r>
      <w:r>
        <w:rPr>
          <w:rFonts w:hint="eastAsia"/>
        </w:rPr>
        <w:t>系列2集装箱的</w:t>
      </w:r>
      <w:r>
        <w:t>最大营运总质量（又称额定质量）</w:t>
      </w:r>
      <w:r>
        <w:rPr>
          <w:rFonts w:hint="eastAsia"/>
        </w:rPr>
        <w:t>，</w:t>
      </w:r>
      <w:r>
        <w:t>系指集装箱和所装货物的最大的允许总质量</w:t>
      </w:r>
      <w:r>
        <w:rPr>
          <w:rFonts w:hint="eastAsia"/>
        </w:rPr>
        <w:t>，kg；</w:t>
      </w:r>
    </w:p>
    <w:p w14:paraId="4F51CDDD">
      <w:pPr>
        <w:pStyle w:val="56"/>
        <w:ind w:firstLine="420"/>
      </w:pPr>
      <w:r>
        <w:rPr>
          <w:rFonts w:hint="eastAsia"/>
          <w:i/>
          <w:iCs/>
        </w:rPr>
        <w:t>g</w:t>
      </w:r>
      <w:r>
        <w:rPr>
          <w:i/>
          <w:iCs/>
        </w:rPr>
        <w:t xml:space="preserve"> </w:t>
      </w:r>
      <w:r>
        <w:t>——</w:t>
      </w:r>
      <w:r>
        <w:rPr>
          <w:rFonts w:hint="eastAsia"/>
        </w:rPr>
        <w:t>重力加速度，g=9.8 m/s</w:t>
      </w:r>
      <w:r>
        <w:rPr>
          <w:rFonts w:hint="eastAsia"/>
          <w:vertAlign w:val="superscript"/>
        </w:rPr>
        <w:t>2</w:t>
      </w:r>
      <w:r>
        <w:rPr>
          <w:rFonts w:hint="eastAsia"/>
        </w:rPr>
        <w:t>。</w:t>
      </w:r>
    </w:p>
    <w:p w14:paraId="10537EEA">
      <w:pPr>
        <w:pStyle w:val="162"/>
        <w:ind w:left="0"/>
      </w:pPr>
      <w:r>
        <w:rPr>
          <w:rFonts w:hint="eastAsia"/>
        </w:rPr>
        <w:t>对6.8条每项负荷，其应遵守的安全系数如下：</w:t>
      </w:r>
    </w:p>
    <w:p w14:paraId="6E389280">
      <w:pPr>
        <w:pStyle w:val="174"/>
        <w:numPr>
          <w:ilvl w:val="0"/>
          <w:numId w:val="33"/>
        </w:numPr>
      </w:pPr>
      <w:r>
        <w:rPr>
          <w:rFonts w:hint="eastAsia"/>
        </w:rPr>
        <w:t>对于具备明确屈服点的金属，对确定的屈服应力，安全系数为1.5；</w:t>
      </w:r>
    </w:p>
    <w:p w14:paraId="0B591AE2">
      <w:pPr>
        <w:pStyle w:val="174"/>
      </w:pPr>
      <w:r>
        <w:rPr>
          <w:rFonts w:hint="eastAsia"/>
        </w:rPr>
        <w:t>对于不具备明确屈服点的金属，对确定的0.2%弹性极限应力和对于奥氏体不锈钢1.0 %弹性应力的，安全系数为1.5。</w:t>
      </w:r>
    </w:p>
    <w:p w14:paraId="3A31F996">
      <w:pPr>
        <w:pStyle w:val="104"/>
        <w:spacing w:before="240" w:after="240"/>
        <w:ind w:left="0"/>
      </w:pPr>
      <w:bookmarkStart w:id="72" w:name="_Toc233641738"/>
      <w:r>
        <w:rPr>
          <w:rFonts w:hint="eastAsia"/>
        </w:rPr>
        <w:t>尺寸与公差</w:t>
      </w:r>
      <w:bookmarkEnd w:id="72"/>
    </w:p>
    <w:p w14:paraId="6504166F">
      <w:pPr>
        <w:pStyle w:val="162"/>
        <w:ind w:left="0"/>
      </w:pPr>
      <w:r>
        <w:rPr>
          <w:rFonts w:hint="eastAsia"/>
        </w:rPr>
        <w:t>转换平台式集装箱的纵向长度尺寸应为</w:t>
      </w:r>
      <m:oMath>
        <m:sSubSup>
          <m:sSubSupPr>
            <m:ctrlPr>
              <w:rPr>
                <w:rFonts w:hint="eastAsia" w:ascii="Cambria Math" w:hAnsi="Cambria Math"/>
                <w:i/>
              </w:rPr>
            </m:ctrlPr>
          </m:sSubSupPr>
          <m:e>
            <m:r>
              <m:rPr/>
              <w:rPr>
                <w:rFonts w:hint="eastAsia" w:ascii="Cambria Math" w:hAnsi="Cambria Math"/>
              </w:rPr>
              <m:t>6058</m:t>
            </m:r>
            <m:ctrlPr>
              <w:rPr>
                <w:rFonts w:hint="eastAsia" w:ascii="Cambria Math" w:hAnsi="Cambria Math"/>
                <w:i/>
              </w:rPr>
            </m:ctrlPr>
          </m:e>
          <m:sub>
            <m:r>
              <m:rPr/>
              <w:rPr>
                <w:rFonts w:ascii="Cambria Math" w:hAnsi="Cambria Math" w:cs="Cambria Math"/>
              </w:rPr>
              <m:t>−</m:t>
            </m:r>
            <m:r>
              <m:rPr/>
              <w:rPr>
                <w:rFonts w:hint="eastAsia" w:ascii="Cambria Math" w:hAnsi="Cambria Math"/>
              </w:rPr>
              <m:t>6</m:t>
            </m:r>
            <m:ctrlPr>
              <w:rPr>
                <w:rFonts w:hint="eastAsia" w:ascii="Cambria Math" w:hAnsi="Cambria Math"/>
                <w:i/>
              </w:rPr>
            </m:ctrlPr>
          </m:sub>
          <m:sup>
            <m:r>
              <m:rPr/>
              <w:rPr>
                <w:rFonts w:hint="eastAsia" w:ascii="Cambria Math" w:hAnsi="Cambria Math"/>
              </w:rPr>
              <m:t>0</m:t>
            </m:r>
            <m:ctrlPr>
              <w:rPr>
                <w:rFonts w:hint="eastAsia" w:ascii="Cambria Math" w:hAnsi="Cambria Math"/>
                <w:i/>
              </w:rPr>
            </m:ctrlPr>
          </m:sup>
        </m:sSubSup>
      </m:oMath>
      <w:r>
        <w:rPr>
          <w:rFonts w:hint="eastAsia"/>
        </w:rPr>
        <w:t>mm。</w:t>
      </w:r>
    </w:p>
    <w:p w14:paraId="68DD973C">
      <w:pPr>
        <w:pStyle w:val="162"/>
        <w:ind w:left="0"/>
      </w:pPr>
      <w:r>
        <w:rPr>
          <w:rFonts w:hint="eastAsia"/>
        </w:rPr>
        <w:t>转换平台式集装箱的横向宽度尺寸根据下部设置的系列1集装箱的箱位数确定，宽度方向总偏差为</w:t>
      </w:r>
      <m:oMath>
        <m:sSubSup>
          <m:sSubSupPr>
            <m:ctrlPr>
              <w:rPr>
                <w:rFonts w:hint="eastAsia" w:ascii="Cambria Math" w:hAnsi="Cambria Math"/>
                <w:i/>
              </w:rPr>
            </m:ctrlPr>
          </m:sSubSupPr>
          <m:e>
            <w:bookmarkStart w:id="73" w:name="OLE_LINK44"/>
            <m:r>
              <m:rPr/>
              <w:rPr>
                <w:rFonts w:hint="eastAsia" w:ascii="Cambria Math" w:hAnsi="Cambria Math"/>
              </w:rPr>
              <m:t>W1</m:t>
            </m:r>
            <m:ctrlPr>
              <w:rPr>
                <w:rFonts w:hint="eastAsia" w:ascii="Cambria Math" w:hAnsi="Cambria Math"/>
                <w:i/>
              </w:rPr>
            </m:ctrlPr>
          </m:e>
          <m:sub>
            <m:r>
              <m:rPr/>
              <w:rPr>
                <w:rFonts w:ascii="Cambria Math" w:hAnsi="Cambria Math" w:cs="Cambria Math"/>
              </w:rPr>
              <m:t>−</m:t>
            </m:r>
            <m:r>
              <m:rPr/>
              <w:rPr>
                <w:rFonts w:hint="eastAsia" w:ascii="Cambria Math" w:hAnsi="Cambria Math"/>
              </w:rPr>
              <m:t>10</m:t>
            </m:r>
            <m:ctrlPr>
              <w:rPr>
                <w:rFonts w:hint="eastAsia" w:ascii="Cambria Math" w:hAnsi="Cambria Math"/>
                <w:i/>
              </w:rPr>
            </m:ctrlPr>
          </m:sub>
          <m:sup>
            <m:r>
              <m:rPr/>
              <w:rPr>
                <w:rFonts w:hint="eastAsia" w:ascii="Cambria Math" w:hAnsi="Cambria Math"/>
              </w:rPr>
              <m:t>0</m:t>
            </m:r>
            <w:bookmarkEnd w:id="73"/>
            <m:ctrlPr>
              <w:rPr>
                <w:rFonts w:hint="eastAsia" w:ascii="Cambria Math" w:hAnsi="Cambria Math"/>
                <w:i/>
              </w:rPr>
            </m:ctrlPr>
          </m:sup>
        </m:sSubSup>
      </m:oMath>
      <w:r>
        <w:rPr>
          <w:rFonts w:hint="eastAsia"/>
        </w:rPr>
        <w:t>mm，</w:t>
      </w:r>
      <w:bookmarkStart w:id="74" w:name="OLE_LINK46"/>
      <w:r>
        <w:rPr>
          <w:rFonts w:hint="eastAsia"/>
        </w:rPr>
        <w:t>其中</w:t>
      </w:r>
      <w:r>
        <w:rPr>
          <w:rFonts w:hint="eastAsia"/>
          <w:i/>
          <w:iCs/>
        </w:rPr>
        <w:t>W1</w:t>
      </w:r>
      <w:r>
        <w:rPr>
          <w:rFonts w:hint="eastAsia"/>
        </w:rPr>
        <w:t>为转换平台式集装箱的总宽度。</w:t>
      </w:r>
      <w:bookmarkEnd w:id="74"/>
    </w:p>
    <w:p w14:paraId="17FFBCC1">
      <w:pPr>
        <w:pStyle w:val="162"/>
        <w:ind w:left="0"/>
      </w:pPr>
      <w:r>
        <w:rPr>
          <w:rFonts w:hint="eastAsia"/>
        </w:rPr>
        <w:t>转换平台式集装箱的高度尺寸为</w:t>
      </w:r>
      <m:oMath>
        <m:sSubSup>
          <m:sSubSupPr>
            <m:ctrlPr>
              <w:rPr>
                <w:rFonts w:hint="eastAsia" w:ascii="Cambria Math" w:hAnsi="Cambria Math"/>
                <w:i/>
              </w:rPr>
            </m:ctrlPr>
          </m:sSubSupPr>
          <m:e>
            <m:r>
              <m:rPr/>
              <w:rPr>
                <w:rFonts w:hint="eastAsia" w:ascii="Cambria Math" w:hAnsi="Cambria Math"/>
              </w:rPr>
              <m:t>H1</m:t>
            </m:r>
            <m:ctrlPr>
              <w:rPr>
                <w:rFonts w:hint="eastAsia" w:ascii="Cambria Math" w:hAnsi="Cambria Math"/>
                <w:i/>
              </w:rPr>
            </m:ctrlPr>
          </m:e>
          <m:sub>
            <m:r>
              <m:rPr/>
              <w:rPr>
                <w:rFonts w:ascii="Cambria Math" w:hAnsi="Cambria Math" w:cs="Cambria Math"/>
              </w:rPr>
              <m:t>−</m:t>
            </m:r>
            <m:r>
              <m:rPr/>
              <w:rPr>
                <w:rFonts w:hint="eastAsia" w:ascii="Cambria Math" w:hAnsi="Cambria Math"/>
              </w:rPr>
              <m:t>3</m:t>
            </m:r>
            <m:ctrlPr>
              <w:rPr>
                <w:rFonts w:hint="eastAsia" w:ascii="Cambria Math" w:hAnsi="Cambria Math"/>
                <w:i/>
              </w:rPr>
            </m:ctrlPr>
          </m:sub>
          <m:sup>
            <m:r>
              <m:rPr/>
              <w:rPr>
                <w:rFonts w:hint="eastAsia" w:ascii="Cambria Math" w:hAnsi="Cambria Math"/>
              </w:rPr>
              <m:t>+3</m:t>
            </m:r>
            <m:ctrlPr>
              <w:rPr>
                <w:rFonts w:hint="eastAsia" w:ascii="Cambria Math" w:hAnsi="Cambria Math"/>
                <w:i/>
              </w:rPr>
            </m:ctrlPr>
          </m:sup>
        </m:sSubSup>
      </m:oMath>
      <w:r>
        <w:rPr>
          <w:rFonts w:hint="eastAsia"/>
        </w:rPr>
        <w:t>mm，其中</w:t>
      </w:r>
      <w:r>
        <w:rPr>
          <w:rFonts w:hint="eastAsia"/>
          <w:i/>
          <w:iCs/>
        </w:rPr>
        <w:t>H1</w:t>
      </w:r>
      <w:r>
        <w:rPr>
          <w:rFonts w:hint="eastAsia"/>
        </w:rPr>
        <w:t>为转换平台式集装箱的总高度，一般取350mm。</w:t>
      </w:r>
    </w:p>
    <w:p w14:paraId="48F8F76D">
      <w:pPr>
        <w:pStyle w:val="162"/>
        <w:ind w:left="0"/>
      </w:pPr>
      <w:r>
        <w:rPr>
          <w:rFonts w:hint="eastAsia"/>
        </w:rPr>
        <w:t>转换平台式集装箱下部系列1集装箱箱位的角件孔定位尺寸</w:t>
      </w:r>
      <w:bookmarkStart w:id="75" w:name="OLE_LINK1"/>
      <w:r>
        <w:rPr>
          <w:rFonts w:hint="eastAsia"/>
        </w:rPr>
        <w:t>和公差应符合GB/T 1413的要求。</w:t>
      </w:r>
      <w:bookmarkEnd w:id="75"/>
    </w:p>
    <w:p w14:paraId="1238FD19">
      <w:pPr>
        <w:pStyle w:val="162"/>
        <w:ind w:left="0"/>
      </w:pPr>
      <w:r>
        <w:rPr>
          <w:rFonts w:hint="eastAsia"/>
        </w:rPr>
        <w:t>转换平台式集装箱下部两个相邻系列1集装箱箱位的角件孔中心距应按船舶上对应的角件位置设置，一般可取205±2 mm。</w:t>
      </w:r>
    </w:p>
    <w:p w14:paraId="2F525C29">
      <w:pPr>
        <w:pStyle w:val="162"/>
        <w:ind w:left="0"/>
      </w:pPr>
      <w:r>
        <w:rPr>
          <w:rFonts w:hint="eastAsia"/>
        </w:rPr>
        <w:t>转换平台式集装箱上部系列2集装箱箱位角件孔定位尺寸和公差应符合GB/T 35201的要求。</w:t>
      </w:r>
    </w:p>
    <w:p w14:paraId="05A64D97">
      <w:pPr>
        <w:pStyle w:val="162"/>
        <w:ind w:left="0"/>
      </w:pPr>
      <w:r>
        <w:rPr>
          <w:rFonts w:hint="eastAsia"/>
        </w:rPr>
        <w:t>转换平台式集装箱上部两个相邻系列2集装箱箱位的角件孔中心距可根据转换平台式集装箱的宽度确定，一般可取341±2 mm。</w:t>
      </w:r>
    </w:p>
    <w:p w14:paraId="57FB5246">
      <w:pPr>
        <w:pStyle w:val="162"/>
        <w:ind w:left="0"/>
      </w:pPr>
      <w:r>
        <w:rPr>
          <w:rFonts w:hint="eastAsia"/>
        </w:rPr>
        <w:t>上部吊装角件和下部吊装角件的装配定位尺寸如图1所示，沿箱长方向角件孔中心距5853mm，沿箱宽方向角件孔中心距2259mm，其公差应符合GB/T 1413的要求。</w:t>
      </w:r>
    </w:p>
    <w:p w14:paraId="5F903F03">
      <w:pPr>
        <w:pStyle w:val="162"/>
        <w:ind w:left="0"/>
      </w:pPr>
      <w:r>
        <w:rPr>
          <w:rFonts w:hint="eastAsia"/>
        </w:rPr>
        <w:t>所有上部连接角件和上部吊装角件的顶面应位于同一平面上，且超出箱体其他部位至少6mm。</w:t>
      </w:r>
    </w:p>
    <w:p w14:paraId="3BCE5265">
      <w:pPr>
        <w:pStyle w:val="162"/>
        <w:ind w:left="0"/>
      </w:pPr>
      <w:r>
        <w:rPr>
          <w:rFonts w:hint="eastAsia"/>
        </w:rPr>
        <w:t>所有下部连接角件和下部吊装角件的底面应位于同一平面上，且超出箱体其他部位至少6mm。</w:t>
      </w:r>
    </w:p>
    <w:p w14:paraId="753BD3A4">
      <w:pPr>
        <w:pStyle w:val="162"/>
        <w:ind w:left="0"/>
      </w:pPr>
      <w:r>
        <w:rPr>
          <w:rFonts w:hint="eastAsia"/>
        </w:rPr>
        <w:t>转换平台式集装箱的上、下表面角件孔的每个箱位横向角件孔偏差不得超过±3mm</w:t>
      </w:r>
    </w:p>
    <w:p w14:paraId="2A40CFDA">
      <w:pPr>
        <w:pStyle w:val="162"/>
        <w:ind w:left="0"/>
      </w:pPr>
      <w:r>
        <w:rPr>
          <w:rFonts w:hint="eastAsia"/>
        </w:rPr>
        <w:t>转换平台式集装箱下部横向距离最远两个角件的公差不</w:t>
      </w:r>
      <w:bookmarkStart w:id="76" w:name="OLE_LINK8"/>
      <w:r>
        <w:rPr>
          <w:rFonts w:hint="eastAsia"/>
        </w:rPr>
        <w:t>超</w:t>
      </w:r>
      <w:bookmarkEnd w:id="76"/>
      <w:r>
        <w:rPr>
          <w:rFonts w:hint="eastAsia"/>
        </w:rPr>
        <w:t>过±5mm。</w:t>
      </w:r>
    </w:p>
    <w:p w14:paraId="1372A84D">
      <w:pPr>
        <w:pStyle w:val="104"/>
        <w:spacing w:before="240" w:after="240"/>
        <w:ind w:left="0"/>
      </w:pPr>
      <w:bookmarkStart w:id="77" w:name="_Toc233641739"/>
      <w:r>
        <w:rPr>
          <w:rFonts w:hint="eastAsia"/>
        </w:rPr>
        <w:t>零部件</w:t>
      </w:r>
      <w:bookmarkEnd w:id="77"/>
    </w:p>
    <w:p w14:paraId="30AF5E1A">
      <w:pPr>
        <w:pStyle w:val="105"/>
        <w:spacing w:before="120" w:after="120"/>
        <w:ind w:left="0"/>
      </w:pPr>
      <w:r>
        <w:rPr>
          <w:rFonts w:hint="eastAsia" w:ascii="宋体" w:hAnsi="宋体" w:cs="宋体"/>
        </w:rPr>
        <w:t>横梁</w:t>
      </w:r>
    </w:p>
    <w:p w14:paraId="22EE7A31">
      <w:pPr>
        <w:pStyle w:val="165"/>
      </w:pPr>
      <w:r>
        <w:rPr>
          <w:rFonts w:hint="eastAsia"/>
        </w:rPr>
        <w:t>横梁为转换平台式集装箱的主要构件，用于安装上、下部连接角件和吊装角件。</w:t>
      </w:r>
    </w:p>
    <w:p w14:paraId="31D272DB">
      <w:pPr>
        <w:pStyle w:val="165"/>
      </w:pPr>
      <w:r>
        <w:rPr>
          <w:rFonts w:hint="eastAsia"/>
        </w:rPr>
        <w:t>横梁一般由钢板组焊而成，也可采用型钢组焊。组焊后的横梁不应有较明显的变形。</w:t>
      </w:r>
    </w:p>
    <w:p w14:paraId="52B9D3E6">
      <w:pPr>
        <w:pStyle w:val="165"/>
      </w:pPr>
      <w:r>
        <w:rPr>
          <w:rFonts w:hint="eastAsia" w:hAnsi="宋体" w:cs="宋体"/>
        </w:rPr>
        <w:t>横梁各部件包括上翼板、</w:t>
      </w:r>
      <w:r>
        <w:rPr>
          <w:rFonts w:hint="eastAsia"/>
        </w:rPr>
        <w:t>下翼板、腹板、支撑筋板、角件，其材料要求如下：</w:t>
      </w:r>
    </w:p>
    <w:p w14:paraId="4C52E93F">
      <w:pPr>
        <w:pStyle w:val="174"/>
      </w:pPr>
      <w:r>
        <w:rPr>
          <w:rFonts w:hint="eastAsia"/>
        </w:rPr>
        <w:t>上翼板：材料的屈服强度一般不低于</w:t>
      </w:r>
      <w:r>
        <w:t>3</w:t>
      </w:r>
      <w:r>
        <w:rPr>
          <w:rFonts w:hint="eastAsia"/>
        </w:rPr>
        <w:t>4</w:t>
      </w:r>
      <w:r>
        <w:t>5MPa</w:t>
      </w:r>
      <w:r>
        <w:rPr>
          <w:rFonts w:hint="eastAsia"/>
        </w:rPr>
        <w:t>，如采用</w:t>
      </w:r>
      <w:r>
        <w:t>Q355D</w:t>
      </w:r>
      <w:r>
        <w:rPr>
          <w:rFonts w:hint="eastAsia"/>
        </w:rPr>
        <w:t>/</w:t>
      </w:r>
      <w:r>
        <w:t xml:space="preserve"> SPA-H/Corten</w:t>
      </w:r>
      <w:r>
        <w:rPr>
          <w:rFonts w:hint="eastAsia"/>
        </w:rPr>
        <w:t>等耐候钢；</w:t>
      </w:r>
    </w:p>
    <w:p w14:paraId="23CAFFEA">
      <w:pPr>
        <w:pStyle w:val="174"/>
      </w:pPr>
      <w:r>
        <w:rPr>
          <w:rFonts w:hint="eastAsia"/>
        </w:rPr>
        <w:t>下翼板：材料的屈服强度一般不低于</w:t>
      </w:r>
      <w:r>
        <w:t>3</w:t>
      </w:r>
      <w:r>
        <w:rPr>
          <w:rFonts w:hint="eastAsia"/>
        </w:rPr>
        <w:t>4</w:t>
      </w:r>
      <w:r>
        <w:t>5MPa</w:t>
      </w:r>
      <w:r>
        <w:rPr>
          <w:rFonts w:hint="eastAsia"/>
        </w:rPr>
        <w:t>，如采用</w:t>
      </w:r>
      <w:r>
        <w:t>Q355D</w:t>
      </w:r>
      <w:r>
        <w:rPr>
          <w:rFonts w:hint="eastAsia"/>
        </w:rPr>
        <w:t>/</w:t>
      </w:r>
      <w:r>
        <w:t xml:space="preserve"> SPA-H/Corten</w:t>
      </w:r>
      <w:r>
        <w:rPr>
          <w:rFonts w:hint="eastAsia"/>
        </w:rPr>
        <w:t>等耐候钢；</w:t>
      </w:r>
    </w:p>
    <w:p w14:paraId="3DC8684F">
      <w:pPr>
        <w:pStyle w:val="174"/>
      </w:pPr>
      <w:r>
        <w:rPr>
          <w:rFonts w:hint="eastAsia"/>
        </w:rPr>
        <w:t>腹板：材料的屈服强度一般不低于</w:t>
      </w:r>
      <w:r>
        <w:t>3</w:t>
      </w:r>
      <w:r>
        <w:rPr>
          <w:rFonts w:hint="eastAsia"/>
        </w:rPr>
        <w:t>4</w:t>
      </w:r>
      <w:r>
        <w:t>5MPa</w:t>
      </w:r>
      <w:r>
        <w:rPr>
          <w:rFonts w:hint="eastAsia"/>
        </w:rPr>
        <w:t>，如采用</w:t>
      </w:r>
      <w:r>
        <w:t>Q355D</w:t>
      </w:r>
      <w:r>
        <w:rPr>
          <w:rFonts w:hint="eastAsia"/>
        </w:rPr>
        <w:t>/</w:t>
      </w:r>
      <w:r>
        <w:t>SPA-H/Corten</w:t>
      </w:r>
      <w:r>
        <w:rPr>
          <w:rFonts w:hint="eastAsia"/>
        </w:rPr>
        <w:t>等耐候钢；</w:t>
      </w:r>
    </w:p>
    <w:p w14:paraId="4C56704C">
      <w:pPr>
        <w:pStyle w:val="174"/>
      </w:pPr>
      <w:r>
        <w:rPr>
          <w:rFonts w:hint="eastAsia"/>
        </w:rPr>
        <w:t>支撑筋板：材料的屈服强度一般不低于</w:t>
      </w:r>
      <w:r>
        <w:t>3</w:t>
      </w:r>
      <w:r>
        <w:rPr>
          <w:rFonts w:hint="eastAsia"/>
        </w:rPr>
        <w:t>4</w:t>
      </w:r>
      <w:r>
        <w:t>5MPa</w:t>
      </w:r>
      <w:r>
        <w:rPr>
          <w:rFonts w:hint="eastAsia"/>
        </w:rPr>
        <w:t>，如采用</w:t>
      </w:r>
      <w:r>
        <w:t>Q355D</w:t>
      </w:r>
      <w:r>
        <w:rPr>
          <w:rFonts w:hint="eastAsia"/>
        </w:rPr>
        <w:t>/</w:t>
      </w:r>
      <w:r>
        <w:t xml:space="preserve"> SPA-H/Corten</w:t>
      </w:r>
      <w:r>
        <w:rPr>
          <w:rFonts w:hint="eastAsia"/>
        </w:rPr>
        <w:t>等耐候钢；</w:t>
      </w:r>
    </w:p>
    <w:p w14:paraId="2B1EE608">
      <w:pPr>
        <w:pStyle w:val="174"/>
      </w:pPr>
      <w:bookmarkStart w:id="78" w:name="OLE_LINK47"/>
      <w:r>
        <w:rPr>
          <w:rFonts w:hint="eastAsia"/>
        </w:rPr>
        <w:t>角件</w:t>
      </w:r>
      <w:bookmarkEnd w:id="78"/>
      <w:r>
        <w:rPr>
          <w:rFonts w:hint="eastAsia"/>
        </w:rPr>
        <w:t>：</w:t>
      </w:r>
      <w:r>
        <w:t>SCW480</w:t>
      </w:r>
      <w:r>
        <w:rPr>
          <w:rFonts w:hint="eastAsia"/>
        </w:rPr>
        <w:t>。</w:t>
      </w:r>
    </w:p>
    <w:p w14:paraId="3E031132">
      <w:pPr>
        <w:pStyle w:val="105"/>
        <w:spacing w:before="120" w:after="120"/>
        <w:rPr>
          <w:rFonts w:hint="eastAsia" w:hAnsi="黑体"/>
        </w:rPr>
      </w:pPr>
      <w:r>
        <w:rPr>
          <w:rFonts w:hint="eastAsia" w:hAnsi="黑体"/>
        </w:rPr>
        <w:t>纵梁</w:t>
      </w:r>
    </w:p>
    <w:p w14:paraId="20B0BE04">
      <w:pPr>
        <w:pStyle w:val="165"/>
      </w:pPr>
      <w:r>
        <w:rPr>
          <w:rFonts w:hint="eastAsia"/>
        </w:rPr>
        <w:t>每个箱位的顶、底角件间应设置纵梁，纵梁与两个横梁焊接连接，从而形成完整的箱体结构。</w:t>
      </w:r>
    </w:p>
    <w:p w14:paraId="37765FF8">
      <w:pPr>
        <w:pStyle w:val="165"/>
      </w:pPr>
      <w:r>
        <w:rPr>
          <w:rFonts w:hint="eastAsia"/>
        </w:rPr>
        <w:t>转换平台式集装箱底部无需设置载荷传递区。</w:t>
      </w:r>
    </w:p>
    <w:p w14:paraId="534C6FA1">
      <w:pPr>
        <w:pStyle w:val="165"/>
      </w:pPr>
      <w:r>
        <w:rPr>
          <w:rFonts w:hint="eastAsia"/>
        </w:rPr>
        <w:t>纵梁可由钢板组焊而成，也可采用型钢。</w:t>
      </w:r>
    </w:p>
    <w:p w14:paraId="7B981EF7">
      <w:pPr>
        <w:pStyle w:val="165"/>
      </w:pPr>
      <w:r>
        <w:rPr>
          <w:rFonts w:hint="eastAsia"/>
        </w:rPr>
        <w:t>纵梁用材料的屈服强度一般不低于235MPa，如Q235D。</w:t>
      </w:r>
    </w:p>
    <w:p w14:paraId="1D08C44E">
      <w:pPr>
        <w:pStyle w:val="104"/>
        <w:spacing w:before="240" w:after="240"/>
        <w:ind w:left="0"/>
      </w:pPr>
      <w:bookmarkStart w:id="79" w:name="_Toc233641740"/>
      <w:r>
        <w:rPr>
          <w:rFonts w:hint="eastAsia"/>
        </w:rPr>
        <w:t>焊接与无损检测</w:t>
      </w:r>
      <w:bookmarkEnd w:id="79"/>
    </w:p>
    <w:p w14:paraId="7126EAED">
      <w:pPr>
        <w:pStyle w:val="162"/>
        <w:ind w:left="0"/>
      </w:pPr>
      <w:r>
        <w:rPr>
          <w:rFonts w:hint="eastAsia"/>
        </w:rPr>
        <w:t>焊接应按焊接工艺规程执行，并经焊接工艺评定测试合格。</w:t>
      </w:r>
    </w:p>
    <w:p w14:paraId="7D0F834D">
      <w:pPr>
        <w:pStyle w:val="162"/>
        <w:ind w:left="0"/>
      </w:pPr>
      <w:r>
        <w:rPr>
          <w:rFonts w:hint="eastAsia"/>
        </w:rPr>
        <w:t>转换平台式集装箱的上下翼板与腹板、角件与上下翼板、腹板及支撑筋板的焊接接头应采用全熔透的焊接接头形式。</w:t>
      </w:r>
    </w:p>
    <w:p w14:paraId="572D0EE4">
      <w:pPr>
        <w:pStyle w:val="162"/>
        <w:ind w:left="0"/>
      </w:pPr>
      <w:r>
        <w:rPr>
          <w:rFonts w:hint="eastAsia"/>
        </w:rPr>
        <w:t>转换平台式集装箱所有角接接头采用双面连续焊接。</w:t>
      </w:r>
    </w:p>
    <w:p w14:paraId="76A12CA6">
      <w:pPr>
        <w:pStyle w:val="162"/>
        <w:ind w:left="0"/>
      </w:pPr>
      <w:r>
        <w:rPr>
          <w:rFonts w:hint="eastAsia"/>
        </w:rPr>
        <w:t>转换平台式集装箱的上下翼板和腹板焊脚高度应不低于10mm，其它焊脚高度应不低于6mm;</w:t>
      </w:r>
    </w:p>
    <w:p w14:paraId="203AC4C2">
      <w:pPr>
        <w:pStyle w:val="162"/>
        <w:ind w:left="0"/>
      </w:pPr>
      <w:r>
        <w:rPr>
          <w:rFonts w:hint="eastAsia"/>
        </w:rPr>
        <w:t>转换平台式集装箱的焊缝表面应成型均匀、致密，向母材过渡平滑，无裂纹、焊瘤、弧坑和咬边等缺陷。</w:t>
      </w:r>
    </w:p>
    <w:p w14:paraId="099B020C">
      <w:pPr>
        <w:pStyle w:val="162"/>
        <w:ind w:left="0"/>
      </w:pPr>
      <w:r>
        <w:rPr>
          <w:rFonts w:hint="eastAsia"/>
        </w:rPr>
        <w:t>转换平台式集装箱组焊后应无翘曲、扭曲、变形、开裂等肉眼可见的缺陷。</w:t>
      </w:r>
    </w:p>
    <w:p w14:paraId="1AAA4959">
      <w:pPr>
        <w:pStyle w:val="162"/>
        <w:ind w:left="0"/>
      </w:pPr>
      <w:r>
        <w:rPr>
          <w:rFonts w:hint="eastAsia"/>
        </w:rPr>
        <w:t>转换平台式集装箱的角件周围200mm范围内焊接接头进行100%超声检测，按</w:t>
      </w:r>
      <w:r>
        <w:rPr>
          <w:rFonts w:hint="eastAsia"/>
        </w:rPr>
        <w:fldChar w:fldCharType="begin"/>
      </w:r>
      <w:r>
        <w:rPr>
          <w:rFonts w:hint="eastAsia"/>
        </w:rPr>
        <w:instrText xml:space="preserve"> HYPERLINK "https://std.samr.gov.cn/hb/search/stdHBDetailed?id=8B1827F1A2E2BB19E05397BE0A0AB44A" \t "_blank" </w:instrText>
      </w:r>
      <w:r>
        <w:rPr>
          <w:rFonts w:hint="eastAsia"/>
        </w:rPr>
        <w:fldChar w:fldCharType="separate"/>
      </w:r>
      <w:r>
        <w:rPr>
          <w:rFonts w:hint="eastAsia"/>
        </w:rPr>
        <w:t>JB/T 10559标</w:t>
      </w:r>
      <w:r>
        <w:rPr>
          <w:rFonts w:hint="eastAsia"/>
        </w:rPr>
        <w:fldChar w:fldCharType="end"/>
      </w:r>
      <w:r>
        <w:rPr>
          <w:rFonts w:hint="eastAsia"/>
        </w:rPr>
        <w:t>准，Ⅰ级合格。</w:t>
      </w:r>
    </w:p>
    <w:p w14:paraId="4E2C7A9C">
      <w:pPr>
        <w:pStyle w:val="162"/>
        <w:ind w:left="0"/>
      </w:pPr>
      <w:r>
        <w:rPr>
          <w:rFonts w:hint="eastAsia"/>
        </w:rPr>
        <w:t>其它焊接接头进行100%磁粉检测，按GB/T 26951标准，I级合格。</w:t>
      </w:r>
    </w:p>
    <w:p w14:paraId="2B3FCA74">
      <w:pPr>
        <w:pStyle w:val="104"/>
        <w:spacing w:before="240" w:after="240"/>
        <w:ind w:left="0"/>
      </w:pPr>
      <w:bookmarkStart w:id="80" w:name="_Toc233641741"/>
      <w:r>
        <w:rPr>
          <w:rFonts w:hint="eastAsia"/>
        </w:rPr>
        <w:t>涂装</w:t>
      </w:r>
      <w:bookmarkEnd w:id="80"/>
    </w:p>
    <w:p w14:paraId="236BDCE0">
      <w:pPr>
        <w:pStyle w:val="162"/>
        <w:ind w:left="0"/>
      </w:pPr>
      <w:r>
        <w:rPr>
          <w:rFonts w:hint="eastAsia"/>
        </w:rPr>
        <w:t>转换平台式集装箱装配之前所有钢件表面应进行抛丸处理并喷涂预处理底漆，处理后的表面清洁度不低于GB/T 8923.1规定的Sa2.5级。</w:t>
      </w:r>
    </w:p>
    <w:p w14:paraId="7C054621">
      <w:pPr>
        <w:pStyle w:val="162"/>
        <w:ind w:left="0"/>
      </w:pPr>
      <w:r>
        <w:rPr>
          <w:rFonts w:hint="eastAsia"/>
        </w:rPr>
        <w:t>焊缝应清除焊渣、飞溅、漆焦、油污、灰尘等杂物并抛丸处理，处理后的表面清洁度不低于</w:t>
      </w:r>
      <w:bookmarkStart w:id="81" w:name="OLE_LINK9"/>
      <w:r>
        <w:rPr>
          <w:rFonts w:hint="eastAsia"/>
        </w:rPr>
        <w:t>GB/T 8923.1</w:t>
      </w:r>
      <w:bookmarkEnd w:id="81"/>
      <w:r>
        <w:rPr>
          <w:rFonts w:hint="eastAsia"/>
        </w:rPr>
        <w:t>规定的Sa2.5级。</w:t>
      </w:r>
    </w:p>
    <w:p w14:paraId="71604823">
      <w:pPr>
        <w:pStyle w:val="162"/>
        <w:ind w:left="0"/>
      </w:pPr>
      <w:r>
        <w:rPr>
          <w:rFonts w:hint="eastAsia"/>
        </w:rPr>
        <w:t>转换平台式集装箱可采用油性油漆，油性油漆应符合表1 的要求；也可采用水性油漆，水性油漆应达到同等耐磨、抗腐蚀性能。</w:t>
      </w:r>
    </w:p>
    <w:p w14:paraId="15BC5324">
      <w:pPr>
        <w:pStyle w:val="162"/>
        <w:ind w:left="0"/>
      </w:pPr>
      <w:r>
        <w:rPr>
          <w:rFonts w:hint="eastAsia"/>
        </w:rPr>
        <w:t>转换平台式集装箱的各功能部位，包括底部连接角件、上部连接角件、吊装角件及箱体对接侧等，宜采用辨识度不同的面漆配色，各部位颜色应相互区分、与箱体主体颜色形成明显色差，面漆颜色优先参照表1要求选用。</w:t>
      </w:r>
    </w:p>
    <w:p w14:paraId="74CE3942">
      <w:pPr>
        <w:pStyle w:val="162"/>
        <w:ind w:left="0"/>
      </w:pPr>
      <w:r>
        <w:rPr>
          <w:rFonts w:hint="eastAsia"/>
        </w:rPr>
        <w:t>转换平台式集装箱组合使用时，箱体对接侧的涂漆宽度尺寸一般为1219mm。</w:t>
      </w:r>
    </w:p>
    <w:p w14:paraId="6BC1C9F2">
      <w:pPr>
        <w:pStyle w:val="162"/>
        <w:ind w:left="0"/>
      </w:pPr>
      <w:r>
        <w:rPr>
          <w:rFonts w:hint="eastAsia"/>
        </w:rPr>
        <w:t>转换平台式集装箱油漆喷涂要求应满足表1的规定：</w:t>
      </w:r>
    </w:p>
    <w:p w14:paraId="4ED15069">
      <w:pPr>
        <w:pStyle w:val="112"/>
        <w:spacing w:before="120" w:after="120"/>
      </w:pPr>
      <w:r>
        <w:rPr>
          <w:rFonts w:hint="eastAsia"/>
        </w:rPr>
        <w:t>油漆喷涂要求</w:t>
      </w:r>
    </w:p>
    <w:tbl>
      <w:tblPr>
        <w:tblStyle w:val="26"/>
        <w:tblW w:w="8458" w:type="dxa"/>
        <w:jc w:val="center"/>
        <w:tblLayout w:type="fixed"/>
        <w:tblCellMar>
          <w:top w:w="0" w:type="dxa"/>
          <w:left w:w="28" w:type="dxa"/>
          <w:bottom w:w="0" w:type="dxa"/>
          <w:right w:w="28" w:type="dxa"/>
        </w:tblCellMar>
      </w:tblPr>
      <w:tblGrid>
        <w:gridCol w:w="1271"/>
        <w:gridCol w:w="1843"/>
        <w:gridCol w:w="1701"/>
        <w:gridCol w:w="1857"/>
        <w:gridCol w:w="1786"/>
      </w:tblGrid>
      <w:tr w14:paraId="342A1DBA">
        <w:tblPrEx>
          <w:tblCellMar>
            <w:top w:w="0" w:type="dxa"/>
            <w:left w:w="28" w:type="dxa"/>
            <w:bottom w:w="0" w:type="dxa"/>
            <w:right w:w="28" w:type="dxa"/>
          </w:tblCellMar>
        </w:tblPrEx>
        <w:trPr>
          <w:trHeight w:val="283" w:hRule="atLeast"/>
          <w:tblHeader/>
          <w:jc w:val="center"/>
        </w:trPr>
        <w:tc>
          <w:tcPr>
            <w:tcW w:w="1271" w:type="dxa"/>
            <w:tcBorders>
              <w:top w:val="single" w:color="auto" w:sz="4" w:space="0"/>
              <w:left w:val="single" w:color="auto" w:sz="4" w:space="0"/>
              <w:bottom w:val="single" w:color="auto" w:sz="4" w:space="0"/>
              <w:right w:val="single" w:color="auto" w:sz="4" w:space="0"/>
            </w:tcBorders>
          </w:tcPr>
          <w:p w14:paraId="7FD01101">
            <w:pPr>
              <w:jc w:val="center"/>
              <w:rPr>
                <w:rFonts w:hint="eastAsia" w:ascii="宋体" w:hAnsi="宋体"/>
                <w:sz w:val="18"/>
                <w:szCs w:val="18"/>
              </w:rPr>
            </w:pPr>
            <w:r>
              <w:rPr>
                <w:rFonts w:hint="eastAsia" w:ascii="宋体" w:hAnsi="宋体"/>
                <w:sz w:val="18"/>
                <w:szCs w:val="18"/>
              </w:rPr>
              <w:t>顺序</w:t>
            </w:r>
          </w:p>
        </w:tc>
        <w:tc>
          <w:tcPr>
            <w:tcW w:w="1843" w:type="dxa"/>
            <w:tcBorders>
              <w:top w:val="single" w:color="auto" w:sz="6" w:space="0"/>
              <w:left w:val="single" w:color="auto" w:sz="4" w:space="0"/>
              <w:bottom w:val="single" w:color="auto" w:sz="4" w:space="0"/>
              <w:right w:val="single" w:color="auto" w:sz="4" w:space="0"/>
            </w:tcBorders>
          </w:tcPr>
          <w:p w14:paraId="6C294A7F">
            <w:pPr>
              <w:jc w:val="center"/>
              <w:rPr>
                <w:rFonts w:hint="eastAsia" w:ascii="宋体" w:hAnsi="宋体"/>
                <w:sz w:val="18"/>
                <w:szCs w:val="18"/>
              </w:rPr>
            </w:pPr>
            <w:r>
              <w:rPr>
                <w:rFonts w:hint="eastAsia" w:ascii="宋体" w:hAnsi="宋体"/>
                <w:sz w:val="18"/>
                <w:szCs w:val="18"/>
              </w:rPr>
              <w:t>位置</w:t>
            </w:r>
          </w:p>
        </w:tc>
        <w:tc>
          <w:tcPr>
            <w:tcW w:w="1701" w:type="dxa"/>
            <w:tcBorders>
              <w:top w:val="single" w:color="auto" w:sz="6" w:space="0"/>
              <w:left w:val="single" w:color="auto" w:sz="4" w:space="0"/>
              <w:bottom w:val="single" w:color="auto" w:sz="4" w:space="0"/>
              <w:right w:val="single" w:color="auto" w:sz="4" w:space="0"/>
            </w:tcBorders>
          </w:tcPr>
          <w:p w14:paraId="071BE326">
            <w:pPr>
              <w:jc w:val="center"/>
              <w:rPr>
                <w:rFonts w:hint="eastAsia" w:ascii="宋体" w:hAnsi="宋体"/>
                <w:sz w:val="18"/>
                <w:szCs w:val="18"/>
              </w:rPr>
            </w:pPr>
            <w:r>
              <w:rPr>
                <w:rFonts w:hint="eastAsia" w:ascii="宋体" w:hAnsi="宋体"/>
                <w:sz w:val="18"/>
                <w:szCs w:val="18"/>
              </w:rPr>
              <w:t>油漆类型</w:t>
            </w:r>
          </w:p>
        </w:tc>
        <w:tc>
          <w:tcPr>
            <w:tcW w:w="1857" w:type="dxa"/>
            <w:tcBorders>
              <w:top w:val="single" w:color="auto" w:sz="6" w:space="0"/>
              <w:left w:val="single" w:color="auto" w:sz="4" w:space="0"/>
              <w:bottom w:val="single" w:color="auto" w:sz="4" w:space="0"/>
              <w:right w:val="single" w:color="auto" w:sz="4" w:space="0"/>
            </w:tcBorders>
          </w:tcPr>
          <w:p w14:paraId="53E5E9C4">
            <w:pPr>
              <w:jc w:val="center"/>
              <w:rPr>
                <w:rFonts w:hint="eastAsia" w:ascii="宋体" w:hAnsi="宋体"/>
                <w:sz w:val="18"/>
                <w:szCs w:val="18"/>
              </w:rPr>
            </w:pPr>
            <w:r>
              <w:rPr>
                <w:rFonts w:hint="eastAsia" w:ascii="宋体" w:hAnsi="宋体"/>
                <w:sz w:val="18"/>
                <w:szCs w:val="18"/>
              </w:rPr>
              <w:t>油漆颜色（推荐）</w:t>
            </w:r>
          </w:p>
        </w:tc>
        <w:tc>
          <w:tcPr>
            <w:tcW w:w="1786" w:type="dxa"/>
            <w:tcBorders>
              <w:top w:val="single" w:color="auto" w:sz="4" w:space="0"/>
              <w:left w:val="single" w:color="auto" w:sz="4" w:space="0"/>
              <w:bottom w:val="single" w:color="auto" w:sz="4" w:space="0"/>
              <w:right w:val="single" w:color="auto" w:sz="4" w:space="0"/>
            </w:tcBorders>
          </w:tcPr>
          <w:p w14:paraId="3645F08D">
            <w:pPr>
              <w:jc w:val="center"/>
              <w:rPr>
                <w:rFonts w:hint="eastAsia" w:ascii="宋体" w:hAnsi="宋体"/>
                <w:sz w:val="18"/>
                <w:szCs w:val="18"/>
              </w:rPr>
            </w:pPr>
            <w:r>
              <w:rPr>
                <w:rFonts w:hint="eastAsia" w:ascii="宋体" w:hAnsi="宋体"/>
                <w:sz w:val="18"/>
                <w:szCs w:val="18"/>
              </w:rPr>
              <w:t xml:space="preserve">最小干膜厚度( </w:t>
            </w:r>
            <w:r>
              <w:rPr>
                <w:rFonts w:hint="eastAsia" w:ascii="宋体" w:hAnsi="宋体"/>
                <w:sz w:val="18"/>
                <w:szCs w:val="18"/>
              </w:rPr>
              <w:sym w:font="Symbol" w:char="F06D"/>
            </w:r>
            <w:r>
              <w:rPr>
                <w:rFonts w:hint="eastAsia" w:ascii="宋体" w:hAnsi="宋体"/>
                <w:sz w:val="18"/>
                <w:szCs w:val="18"/>
              </w:rPr>
              <w:t xml:space="preserve"> )</w:t>
            </w:r>
          </w:p>
        </w:tc>
      </w:tr>
      <w:tr w14:paraId="11D0A151">
        <w:tblPrEx>
          <w:tblCellMar>
            <w:top w:w="0" w:type="dxa"/>
            <w:left w:w="28" w:type="dxa"/>
            <w:bottom w:w="0" w:type="dxa"/>
            <w:right w:w="28" w:type="dxa"/>
          </w:tblCellMar>
        </w:tblPrEx>
        <w:trPr>
          <w:jc w:val="center"/>
        </w:trPr>
        <w:tc>
          <w:tcPr>
            <w:tcW w:w="1271" w:type="dxa"/>
            <w:tcBorders>
              <w:top w:val="single" w:color="auto" w:sz="6" w:space="0"/>
              <w:left w:val="single" w:color="auto" w:sz="4" w:space="0"/>
              <w:bottom w:val="single" w:color="auto" w:sz="4" w:space="0"/>
              <w:right w:val="single" w:color="auto" w:sz="4" w:space="0"/>
            </w:tcBorders>
          </w:tcPr>
          <w:p w14:paraId="4EC32D81">
            <w:pPr>
              <w:spacing w:line="240" w:lineRule="auto"/>
              <w:jc w:val="center"/>
              <w:rPr>
                <w:rFonts w:hint="eastAsia" w:ascii="宋体" w:hAnsi="宋体"/>
                <w:sz w:val="18"/>
                <w:szCs w:val="18"/>
              </w:rPr>
            </w:pPr>
            <w:r>
              <w:rPr>
                <w:rFonts w:hint="eastAsia" w:ascii="宋体" w:hAnsi="宋体"/>
                <w:sz w:val="18"/>
                <w:szCs w:val="18"/>
              </w:rPr>
              <w:t>钢材</w:t>
            </w:r>
            <w:r>
              <w:rPr>
                <w:rFonts w:ascii="宋体" w:hAnsi="宋体"/>
                <w:sz w:val="18"/>
                <w:szCs w:val="18"/>
              </w:rPr>
              <w:t>预处理底漆</w:t>
            </w:r>
          </w:p>
        </w:tc>
        <w:tc>
          <w:tcPr>
            <w:tcW w:w="1843" w:type="dxa"/>
            <w:tcBorders>
              <w:top w:val="single" w:color="auto" w:sz="6" w:space="0"/>
              <w:left w:val="single" w:color="auto" w:sz="4" w:space="0"/>
              <w:bottom w:val="single" w:color="auto" w:sz="4" w:space="0"/>
              <w:right w:val="single" w:color="auto" w:sz="4" w:space="0"/>
            </w:tcBorders>
          </w:tcPr>
          <w:p w14:paraId="30B58BE6">
            <w:pPr>
              <w:jc w:val="center"/>
              <w:rPr>
                <w:rFonts w:hint="eastAsia" w:ascii="宋体" w:hAnsi="宋体"/>
                <w:sz w:val="18"/>
                <w:szCs w:val="18"/>
              </w:rPr>
            </w:pPr>
            <w:bookmarkStart w:id="82" w:name="OLE_LINK27"/>
            <w:r>
              <w:rPr>
                <w:rFonts w:hint="eastAsia" w:ascii="宋体" w:hAnsi="宋体"/>
                <w:sz w:val="18"/>
                <w:szCs w:val="18"/>
              </w:rPr>
              <w:t>钢材全部</w:t>
            </w:r>
            <w:bookmarkEnd w:id="82"/>
            <w:r>
              <w:rPr>
                <w:rFonts w:hint="eastAsia" w:ascii="宋体" w:hAnsi="宋体"/>
                <w:sz w:val="18"/>
                <w:szCs w:val="18"/>
              </w:rPr>
              <w:t>表面</w:t>
            </w:r>
          </w:p>
        </w:tc>
        <w:tc>
          <w:tcPr>
            <w:tcW w:w="1701" w:type="dxa"/>
            <w:tcBorders>
              <w:top w:val="single" w:color="auto" w:sz="6" w:space="0"/>
              <w:left w:val="single" w:color="auto" w:sz="4" w:space="0"/>
              <w:bottom w:val="single" w:color="auto" w:sz="4" w:space="0"/>
              <w:right w:val="single" w:color="auto" w:sz="4" w:space="0"/>
            </w:tcBorders>
          </w:tcPr>
          <w:p w14:paraId="3FC4CED2">
            <w:pPr>
              <w:jc w:val="center"/>
              <w:rPr>
                <w:rFonts w:hint="eastAsia" w:ascii="宋体" w:hAnsi="宋体"/>
                <w:sz w:val="18"/>
                <w:szCs w:val="18"/>
              </w:rPr>
            </w:pPr>
            <w:r>
              <w:rPr>
                <w:rFonts w:hint="eastAsia" w:ascii="宋体" w:hAnsi="宋体"/>
                <w:sz w:val="18"/>
                <w:szCs w:val="18"/>
              </w:rPr>
              <w:t>环氧富锌</w:t>
            </w:r>
            <w:bookmarkStart w:id="83" w:name="OLE_LINK29"/>
            <w:r>
              <w:rPr>
                <w:rFonts w:hint="eastAsia" w:ascii="宋体" w:hAnsi="宋体"/>
                <w:sz w:val="18"/>
                <w:szCs w:val="18"/>
              </w:rPr>
              <w:t>底漆</w:t>
            </w:r>
            <w:bookmarkEnd w:id="83"/>
          </w:p>
        </w:tc>
        <w:tc>
          <w:tcPr>
            <w:tcW w:w="1857" w:type="dxa"/>
            <w:tcBorders>
              <w:top w:val="single" w:color="auto" w:sz="6" w:space="0"/>
              <w:left w:val="single" w:color="auto" w:sz="4" w:space="0"/>
              <w:bottom w:val="single" w:color="auto" w:sz="4" w:space="0"/>
              <w:right w:val="single" w:color="auto" w:sz="4" w:space="0"/>
            </w:tcBorders>
          </w:tcPr>
          <w:p w14:paraId="7C3F2713">
            <w:pPr>
              <w:jc w:val="center"/>
              <w:rPr>
                <w:rFonts w:hint="eastAsia" w:ascii="宋体" w:hAnsi="宋体"/>
                <w:sz w:val="18"/>
                <w:szCs w:val="18"/>
              </w:rPr>
            </w:pPr>
            <w:r>
              <w:rPr>
                <w:rFonts w:hint="eastAsia" w:ascii="宋体" w:hAnsi="宋体"/>
                <w:sz w:val="18"/>
                <w:szCs w:val="18"/>
              </w:rPr>
              <w:t>——</w:t>
            </w:r>
          </w:p>
        </w:tc>
        <w:tc>
          <w:tcPr>
            <w:tcW w:w="1786" w:type="dxa"/>
            <w:tcBorders>
              <w:top w:val="single" w:color="auto" w:sz="4" w:space="0"/>
              <w:left w:val="single" w:color="auto" w:sz="4" w:space="0"/>
              <w:bottom w:val="single" w:color="auto" w:sz="4" w:space="0"/>
              <w:right w:val="single" w:color="auto" w:sz="4" w:space="0"/>
            </w:tcBorders>
          </w:tcPr>
          <w:p w14:paraId="1DCB0D79">
            <w:pPr>
              <w:jc w:val="center"/>
              <w:rPr>
                <w:rFonts w:hint="eastAsia" w:ascii="宋体" w:hAnsi="宋体"/>
                <w:sz w:val="18"/>
                <w:szCs w:val="18"/>
              </w:rPr>
            </w:pPr>
            <w:r>
              <w:rPr>
                <w:rFonts w:hint="eastAsia" w:ascii="宋体" w:hAnsi="宋体"/>
                <w:sz w:val="18"/>
                <w:szCs w:val="18"/>
              </w:rPr>
              <w:t>10</w:t>
            </w:r>
          </w:p>
        </w:tc>
      </w:tr>
      <w:tr w14:paraId="790627E0">
        <w:tblPrEx>
          <w:tblCellMar>
            <w:top w:w="0" w:type="dxa"/>
            <w:left w:w="28" w:type="dxa"/>
            <w:bottom w:w="0" w:type="dxa"/>
            <w:right w:w="2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vAlign w:val="center"/>
          </w:tcPr>
          <w:p w14:paraId="0BC96969">
            <w:pPr>
              <w:jc w:val="center"/>
              <w:rPr>
                <w:rFonts w:hint="eastAsia" w:ascii="宋体" w:hAnsi="宋体"/>
                <w:sz w:val="18"/>
                <w:szCs w:val="18"/>
              </w:rPr>
            </w:pPr>
            <w:r>
              <w:rPr>
                <w:rFonts w:hint="eastAsia" w:ascii="宋体" w:hAnsi="宋体"/>
                <w:sz w:val="18"/>
                <w:szCs w:val="18"/>
              </w:rPr>
              <w:t>底漆</w:t>
            </w:r>
          </w:p>
        </w:tc>
        <w:tc>
          <w:tcPr>
            <w:tcW w:w="1843" w:type="dxa"/>
            <w:tcBorders>
              <w:top w:val="single" w:color="auto" w:sz="4" w:space="0"/>
              <w:left w:val="single" w:color="auto" w:sz="4" w:space="0"/>
              <w:bottom w:val="single" w:color="auto" w:sz="4" w:space="0"/>
              <w:right w:val="single" w:color="auto" w:sz="4" w:space="0"/>
            </w:tcBorders>
          </w:tcPr>
          <w:p w14:paraId="48DD9179">
            <w:pPr>
              <w:jc w:val="center"/>
              <w:rPr>
                <w:rFonts w:hint="eastAsia" w:ascii="宋体" w:hAnsi="宋体"/>
                <w:sz w:val="18"/>
                <w:szCs w:val="18"/>
              </w:rPr>
            </w:pPr>
            <w:bookmarkStart w:id="84" w:name="OLE_LINK28"/>
            <w:r>
              <w:rPr>
                <w:rFonts w:hint="eastAsia" w:ascii="宋体" w:hAnsi="宋体"/>
                <w:sz w:val="18"/>
                <w:szCs w:val="18"/>
              </w:rPr>
              <w:t>全部表面</w:t>
            </w:r>
            <w:bookmarkEnd w:id="84"/>
          </w:p>
        </w:tc>
        <w:tc>
          <w:tcPr>
            <w:tcW w:w="1701" w:type="dxa"/>
            <w:tcBorders>
              <w:top w:val="single" w:color="auto" w:sz="4" w:space="0"/>
              <w:left w:val="single" w:color="auto" w:sz="4" w:space="0"/>
              <w:bottom w:val="single" w:color="auto" w:sz="4" w:space="0"/>
              <w:right w:val="single" w:color="auto" w:sz="4" w:space="0"/>
            </w:tcBorders>
          </w:tcPr>
          <w:p w14:paraId="7722AEDD">
            <w:pPr>
              <w:jc w:val="center"/>
              <w:rPr>
                <w:rFonts w:hint="eastAsia" w:ascii="宋体" w:hAnsi="宋体"/>
                <w:sz w:val="18"/>
                <w:szCs w:val="18"/>
              </w:rPr>
            </w:pPr>
            <w:r>
              <w:rPr>
                <w:rFonts w:hint="eastAsia" w:ascii="宋体" w:hAnsi="宋体"/>
                <w:sz w:val="18"/>
                <w:szCs w:val="18"/>
              </w:rPr>
              <w:t>环氧富锌底漆</w:t>
            </w:r>
          </w:p>
        </w:tc>
        <w:tc>
          <w:tcPr>
            <w:tcW w:w="1857" w:type="dxa"/>
            <w:tcBorders>
              <w:top w:val="single" w:color="auto" w:sz="4" w:space="0"/>
              <w:left w:val="single" w:color="auto" w:sz="4" w:space="0"/>
              <w:bottom w:val="single" w:color="auto" w:sz="4" w:space="0"/>
              <w:right w:val="single" w:color="auto" w:sz="4" w:space="0"/>
            </w:tcBorders>
          </w:tcPr>
          <w:p w14:paraId="089B414F">
            <w:pPr>
              <w:jc w:val="center"/>
              <w:rPr>
                <w:rFonts w:hint="eastAsia" w:ascii="宋体" w:hAnsi="宋体"/>
                <w:sz w:val="18"/>
                <w:szCs w:val="18"/>
              </w:rPr>
            </w:pPr>
            <w:r>
              <w:rPr>
                <w:rFonts w:hint="eastAsia" w:ascii="宋体" w:hAnsi="宋体"/>
                <w:sz w:val="18"/>
                <w:szCs w:val="18"/>
              </w:rPr>
              <w:t>——</w:t>
            </w:r>
          </w:p>
        </w:tc>
        <w:tc>
          <w:tcPr>
            <w:tcW w:w="1786" w:type="dxa"/>
            <w:tcBorders>
              <w:top w:val="single" w:color="auto" w:sz="4" w:space="0"/>
              <w:left w:val="single" w:color="auto" w:sz="4" w:space="0"/>
              <w:bottom w:val="single" w:color="auto" w:sz="4" w:space="0"/>
              <w:right w:val="single" w:color="auto" w:sz="4" w:space="0"/>
            </w:tcBorders>
          </w:tcPr>
          <w:p w14:paraId="47253244">
            <w:pPr>
              <w:jc w:val="center"/>
              <w:rPr>
                <w:rFonts w:hint="eastAsia" w:ascii="宋体" w:hAnsi="宋体"/>
                <w:sz w:val="18"/>
                <w:szCs w:val="18"/>
              </w:rPr>
            </w:pPr>
            <w:r>
              <w:rPr>
                <w:rFonts w:hint="eastAsia" w:ascii="宋体" w:hAnsi="宋体"/>
                <w:sz w:val="18"/>
                <w:szCs w:val="18"/>
              </w:rPr>
              <w:t>20</w:t>
            </w:r>
          </w:p>
        </w:tc>
      </w:tr>
      <w:tr w14:paraId="61906749">
        <w:tblPrEx>
          <w:tblCellMar>
            <w:top w:w="0" w:type="dxa"/>
            <w:left w:w="28" w:type="dxa"/>
            <w:bottom w:w="0" w:type="dxa"/>
            <w:right w:w="2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vAlign w:val="center"/>
          </w:tcPr>
          <w:p w14:paraId="7C34C005">
            <w:pPr>
              <w:jc w:val="center"/>
              <w:rPr>
                <w:rFonts w:hint="eastAsia" w:ascii="宋体" w:hAnsi="宋体"/>
                <w:sz w:val="18"/>
                <w:szCs w:val="18"/>
              </w:rPr>
            </w:pPr>
            <w:r>
              <w:rPr>
                <w:rFonts w:hint="eastAsia" w:ascii="宋体" w:hAnsi="宋体"/>
                <w:sz w:val="18"/>
                <w:szCs w:val="18"/>
              </w:rPr>
              <w:t>中层漆</w:t>
            </w:r>
          </w:p>
        </w:tc>
        <w:tc>
          <w:tcPr>
            <w:tcW w:w="1843" w:type="dxa"/>
            <w:tcBorders>
              <w:top w:val="single" w:color="auto" w:sz="4" w:space="0"/>
              <w:left w:val="single" w:color="auto" w:sz="4" w:space="0"/>
              <w:bottom w:val="single" w:color="auto" w:sz="4" w:space="0"/>
              <w:right w:val="single" w:color="auto" w:sz="4" w:space="0"/>
            </w:tcBorders>
          </w:tcPr>
          <w:p w14:paraId="0EB78591">
            <w:pPr>
              <w:jc w:val="center"/>
              <w:rPr>
                <w:rFonts w:hint="eastAsia" w:ascii="宋体" w:hAnsi="宋体"/>
                <w:sz w:val="18"/>
                <w:szCs w:val="18"/>
              </w:rPr>
            </w:pPr>
            <w:r>
              <w:rPr>
                <w:rFonts w:hint="eastAsia" w:ascii="宋体" w:hAnsi="宋体"/>
                <w:sz w:val="18"/>
                <w:szCs w:val="18"/>
              </w:rPr>
              <w:t>全部表面</w:t>
            </w:r>
          </w:p>
        </w:tc>
        <w:tc>
          <w:tcPr>
            <w:tcW w:w="1701" w:type="dxa"/>
            <w:tcBorders>
              <w:top w:val="single" w:color="auto" w:sz="4" w:space="0"/>
              <w:left w:val="single" w:color="auto" w:sz="4" w:space="0"/>
              <w:bottom w:val="single" w:color="auto" w:sz="4" w:space="0"/>
              <w:right w:val="single" w:color="auto" w:sz="4" w:space="0"/>
            </w:tcBorders>
          </w:tcPr>
          <w:p w14:paraId="318BC7FF">
            <w:pPr>
              <w:jc w:val="center"/>
              <w:rPr>
                <w:rFonts w:hint="eastAsia" w:ascii="宋体" w:hAnsi="宋体"/>
                <w:sz w:val="18"/>
                <w:szCs w:val="18"/>
              </w:rPr>
            </w:pPr>
            <w:r>
              <w:rPr>
                <w:rFonts w:hint="eastAsia" w:ascii="宋体" w:hAnsi="宋体"/>
                <w:sz w:val="18"/>
                <w:szCs w:val="18"/>
              </w:rPr>
              <w:t>环氧云铁中间漆</w:t>
            </w:r>
          </w:p>
        </w:tc>
        <w:tc>
          <w:tcPr>
            <w:tcW w:w="1857" w:type="dxa"/>
            <w:tcBorders>
              <w:top w:val="single" w:color="auto" w:sz="4" w:space="0"/>
              <w:left w:val="single" w:color="auto" w:sz="4" w:space="0"/>
              <w:bottom w:val="single" w:color="auto" w:sz="4" w:space="0"/>
              <w:right w:val="single" w:color="auto" w:sz="4" w:space="0"/>
            </w:tcBorders>
          </w:tcPr>
          <w:p w14:paraId="5A843D94">
            <w:pPr>
              <w:jc w:val="center"/>
              <w:rPr>
                <w:rFonts w:hint="eastAsia" w:ascii="宋体" w:hAnsi="宋体"/>
                <w:sz w:val="18"/>
                <w:szCs w:val="18"/>
              </w:rPr>
            </w:pPr>
            <w:r>
              <w:rPr>
                <w:rFonts w:hint="eastAsia" w:ascii="宋体" w:hAnsi="宋体"/>
                <w:sz w:val="18"/>
                <w:szCs w:val="18"/>
              </w:rPr>
              <w:t>——</w:t>
            </w:r>
          </w:p>
        </w:tc>
        <w:tc>
          <w:tcPr>
            <w:tcW w:w="1786" w:type="dxa"/>
            <w:tcBorders>
              <w:top w:val="single" w:color="auto" w:sz="4" w:space="0"/>
              <w:left w:val="single" w:color="auto" w:sz="4" w:space="0"/>
              <w:bottom w:val="single" w:color="auto" w:sz="4" w:space="0"/>
              <w:right w:val="single" w:color="auto" w:sz="4" w:space="0"/>
            </w:tcBorders>
          </w:tcPr>
          <w:p w14:paraId="1E3B3C98">
            <w:pPr>
              <w:jc w:val="center"/>
              <w:rPr>
                <w:rFonts w:hint="eastAsia" w:ascii="宋体" w:hAnsi="宋体"/>
                <w:sz w:val="18"/>
                <w:szCs w:val="18"/>
              </w:rPr>
            </w:pPr>
            <w:r>
              <w:rPr>
                <w:rFonts w:hint="eastAsia" w:ascii="宋体" w:hAnsi="宋体"/>
                <w:sz w:val="18"/>
                <w:szCs w:val="18"/>
              </w:rPr>
              <w:t>50</w:t>
            </w:r>
          </w:p>
        </w:tc>
      </w:tr>
      <w:tr w14:paraId="1E794C99">
        <w:tblPrEx>
          <w:tblCellMar>
            <w:top w:w="0" w:type="dxa"/>
            <w:left w:w="28" w:type="dxa"/>
            <w:bottom w:w="0" w:type="dxa"/>
            <w:right w:w="28" w:type="dxa"/>
          </w:tblCellMar>
        </w:tblPrEx>
        <w:trPr>
          <w:cantSplit/>
          <w:jc w:val="center"/>
        </w:trPr>
        <w:tc>
          <w:tcPr>
            <w:tcW w:w="1271" w:type="dxa"/>
            <w:vMerge w:val="restart"/>
            <w:tcBorders>
              <w:top w:val="single" w:color="auto" w:sz="4" w:space="0"/>
              <w:left w:val="single" w:color="auto" w:sz="4" w:space="0"/>
              <w:right w:val="single" w:color="auto" w:sz="4" w:space="0"/>
            </w:tcBorders>
            <w:vAlign w:val="center"/>
          </w:tcPr>
          <w:p w14:paraId="7BD75413">
            <w:pPr>
              <w:jc w:val="center"/>
              <w:rPr>
                <w:rFonts w:hint="eastAsia" w:ascii="宋体" w:hAnsi="宋体"/>
                <w:sz w:val="18"/>
                <w:szCs w:val="18"/>
              </w:rPr>
            </w:pPr>
            <w:r>
              <w:rPr>
                <w:rFonts w:hint="eastAsia" w:ascii="宋体" w:hAnsi="宋体"/>
                <w:sz w:val="18"/>
                <w:szCs w:val="18"/>
              </w:rPr>
              <w:t>面漆</w:t>
            </w:r>
          </w:p>
        </w:tc>
        <w:tc>
          <w:tcPr>
            <w:tcW w:w="1843" w:type="dxa"/>
            <w:tcBorders>
              <w:top w:val="single" w:color="auto" w:sz="4" w:space="0"/>
              <w:left w:val="single" w:color="auto" w:sz="4" w:space="0"/>
              <w:bottom w:val="single" w:color="auto" w:sz="4" w:space="0"/>
              <w:right w:val="single" w:color="auto" w:sz="4" w:space="0"/>
            </w:tcBorders>
            <w:vAlign w:val="center"/>
          </w:tcPr>
          <w:p w14:paraId="0EC16713">
            <w:pPr>
              <w:jc w:val="center"/>
              <w:rPr>
                <w:rFonts w:hint="eastAsia" w:ascii="宋体" w:hAnsi="宋体"/>
                <w:sz w:val="18"/>
                <w:szCs w:val="18"/>
              </w:rPr>
            </w:pPr>
            <w:r>
              <w:rPr>
                <w:rFonts w:hint="eastAsia" w:ascii="宋体" w:hAnsi="宋体"/>
                <w:sz w:val="18"/>
                <w:szCs w:val="18"/>
              </w:rPr>
              <w:t>底部连接角件</w:t>
            </w:r>
          </w:p>
        </w:tc>
        <w:tc>
          <w:tcPr>
            <w:tcW w:w="1701" w:type="dxa"/>
            <w:tcBorders>
              <w:top w:val="single" w:color="auto" w:sz="4" w:space="0"/>
              <w:left w:val="single" w:color="auto" w:sz="4" w:space="0"/>
              <w:bottom w:val="single" w:color="auto" w:sz="4" w:space="0"/>
              <w:right w:val="single" w:color="auto" w:sz="4" w:space="0"/>
            </w:tcBorders>
            <w:vAlign w:val="center"/>
          </w:tcPr>
          <w:p w14:paraId="2C9BF548">
            <w:pPr>
              <w:jc w:val="center"/>
              <w:rPr>
                <w:rFonts w:hint="eastAsia" w:ascii="宋体" w:hAnsi="宋体"/>
                <w:sz w:val="18"/>
                <w:szCs w:val="18"/>
              </w:rPr>
            </w:pPr>
            <w:r>
              <w:rPr>
                <w:rFonts w:hint="eastAsia" w:ascii="宋体" w:hAnsi="宋体"/>
                <w:sz w:val="18"/>
                <w:szCs w:val="18"/>
              </w:rPr>
              <w:t>丙烯酸面漆</w:t>
            </w:r>
          </w:p>
        </w:tc>
        <w:tc>
          <w:tcPr>
            <w:tcW w:w="1857" w:type="dxa"/>
            <w:tcBorders>
              <w:top w:val="single" w:color="auto" w:sz="4" w:space="0"/>
              <w:left w:val="single" w:color="auto" w:sz="4" w:space="0"/>
              <w:bottom w:val="single" w:color="auto" w:sz="4" w:space="0"/>
              <w:right w:val="single" w:color="auto" w:sz="4" w:space="0"/>
            </w:tcBorders>
            <w:vAlign w:val="center"/>
          </w:tcPr>
          <w:p w14:paraId="761D9987">
            <w:pPr>
              <w:jc w:val="center"/>
              <w:rPr>
                <w:rFonts w:hint="eastAsia" w:ascii="宋体" w:hAnsi="宋体"/>
                <w:sz w:val="18"/>
                <w:szCs w:val="18"/>
              </w:rPr>
            </w:pPr>
            <w:r>
              <w:rPr>
                <w:rFonts w:hint="eastAsia" w:ascii="宋体" w:hAnsi="宋体"/>
                <w:sz w:val="18"/>
                <w:szCs w:val="18"/>
              </w:rPr>
              <w:t>黄色</w:t>
            </w:r>
          </w:p>
        </w:tc>
        <w:tc>
          <w:tcPr>
            <w:tcW w:w="1786" w:type="dxa"/>
            <w:vMerge w:val="restart"/>
            <w:tcBorders>
              <w:top w:val="single" w:color="auto" w:sz="4" w:space="0"/>
              <w:left w:val="single" w:color="auto" w:sz="4" w:space="0"/>
              <w:right w:val="single" w:color="auto" w:sz="4" w:space="0"/>
            </w:tcBorders>
          </w:tcPr>
          <w:p w14:paraId="6897D018">
            <w:pPr>
              <w:jc w:val="center"/>
              <w:rPr>
                <w:rFonts w:hint="eastAsia" w:ascii="宋体" w:hAnsi="宋体"/>
                <w:sz w:val="18"/>
                <w:szCs w:val="18"/>
              </w:rPr>
            </w:pPr>
          </w:p>
          <w:p w14:paraId="231712E5">
            <w:pPr>
              <w:jc w:val="center"/>
              <w:rPr>
                <w:rFonts w:hint="eastAsia" w:ascii="宋体" w:hAnsi="宋体"/>
                <w:sz w:val="18"/>
                <w:szCs w:val="18"/>
              </w:rPr>
            </w:pPr>
          </w:p>
          <w:p w14:paraId="473C9D6E">
            <w:pPr>
              <w:jc w:val="center"/>
              <w:rPr>
                <w:rFonts w:hint="eastAsia" w:ascii="宋体" w:hAnsi="宋体"/>
                <w:sz w:val="18"/>
                <w:szCs w:val="18"/>
              </w:rPr>
            </w:pPr>
            <w:r>
              <w:rPr>
                <w:rFonts w:hint="eastAsia" w:ascii="宋体" w:hAnsi="宋体"/>
                <w:sz w:val="18"/>
                <w:szCs w:val="18"/>
              </w:rPr>
              <w:t>40</w:t>
            </w:r>
          </w:p>
          <w:p w14:paraId="7B704E50">
            <w:pPr>
              <w:jc w:val="center"/>
              <w:rPr>
                <w:rFonts w:hint="eastAsia" w:ascii="宋体" w:hAnsi="宋体"/>
                <w:sz w:val="18"/>
                <w:szCs w:val="18"/>
              </w:rPr>
            </w:pPr>
          </w:p>
        </w:tc>
      </w:tr>
      <w:tr w14:paraId="60838BD7">
        <w:tblPrEx>
          <w:tblCellMar>
            <w:top w:w="0" w:type="dxa"/>
            <w:left w:w="28" w:type="dxa"/>
            <w:bottom w:w="0" w:type="dxa"/>
            <w:right w:w="28" w:type="dxa"/>
          </w:tblCellMar>
        </w:tblPrEx>
        <w:trPr>
          <w:cantSplit/>
          <w:jc w:val="center"/>
        </w:trPr>
        <w:tc>
          <w:tcPr>
            <w:tcW w:w="1271" w:type="dxa"/>
            <w:vMerge w:val="continue"/>
            <w:tcBorders>
              <w:left w:val="single" w:color="auto" w:sz="4" w:space="0"/>
              <w:right w:val="single" w:color="auto" w:sz="4" w:space="0"/>
            </w:tcBorders>
            <w:vAlign w:val="center"/>
          </w:tcPr>
          <w:p w14:paraId="2E7C5509">
            <w:pPr>
              <w:rPr>
                <w:rFonts w:hint="eastAsia" w:ascii="宋体" w:hAnsi="宋体"/>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14:paraId="72D710BC">
            <w:pPr>
              <w:jc w:val="center"/>
              <w:rPr>
                <w:rFonts w:hint="eastAsia" w:ascii="宋体" w:hAnsi="宋体"/>
                <w:sz w:val="18"/>
                <w:szCs w:val="18"/>
              </w:rPr>
            </w:pPr>
            <w:r>
              <w:rPr>
                <w:rFonts w:hint="eastAsia" w:ascii="宋体" w:hAnsi="宋体"/>
                <w:sz w:val="18"/>
                <w:szCs w:val="18"/>
              </w:rPr>
              <w:t>上部连接角件</w:t>
            </w:r>
          </w:p>
        </w:tc>
        <w:tc>
          <w:tcPr>
            <w:tcW w:w="1701" w:type="dxa"/>
            <w:tcBorders>
              <w:top w:val="single" w:color="auto" w:sz="4" w:space="0"/>
              <w:left w:val="single" w:color="auto" w:sz="4" w:space="0"/>
              <w:bottom w:val="single" w:color="auto" w:sz="4" w:space="0"/>
              <w:right w:val="single" w:color="auto" w:sz="4" w:space="0"/>
            </w:tcBorders>
          </w:tcPr>
          <w:p w14:paraId="3FA9EDAA">
            <w:pPr>
              <w:jc w:val="center"/>
              <w:rPr>
                <w:rFonts w:hint="eastAsia" w:ascii="宋体" w:hAnsi="宋体"/>
                <w:sz w:val="18"/>
                <w:szCs w:val="18"/>
              </w:rPr>
            </w:pPr>
            <w:r>
              <w:rPr>
                <w:rFonts w:hint="eastAsia" w:ascii="宋体" w:hAnsi="宋体"/>
                <w:sz w:val="18"/>
                <w:szCs w:val="18"/>
              </w:rPr>
              <w:t>丙烯酸面漆</w:t>
            </w:r>
          </w:p>
        </w:tc>
        <w:tc>
          <w:tcPr>
            <w:tcW w:w="1857" w:type="dxa"/>
            <w:tcBorders>
              <w:top w:val="single" w:color="auto" w:sz="4" w:space="0"/>
              <w:left w:val="single" w:color="auto" w:sz="4" w:space="0"/>
              <w:bottom w:val="single" w:color="auto" w:sz="4" w:space="0"/>
              <w:right w:val="single" w:color="auto" w:sz="4" w:space="0"/>
            </w:tcBorders>
            <w:vAlign w:val="center"/>
          </w:tcPr>
          <w:p w14:paraId="750F65DA">
            <w:pPr>
              <w:jc w:val="center"/>
              <w:rPr>
                <w:rFonts w:hint="eastAsia" w:ascii="宋体" w:hAnsi="宋体"/>
                <w:sz w:val="18"/>
                <w:szCs w:val="18"/>
              </w:rPr>
            </w:pPr>
            <w:r>
              <w:rPr>
                <w:rFonts w:hint="eastAsia" w:ascii="宋体" w:hAnsi="宋体"/>
                <w:sz w:val="18"/>
                <w:szCs w:val="18"/>
              </w:rPr>
              <w:t>白色</w:t>
            </w:r>
          </w:p>
        </w:tc>
        <w:tc>
          <w:tcPr>
            <w:tcW w:w="1786" w:type="dxa"/>
            <w:vMerge w:val="continue"/>
            <w:tcBorders>
              <w:left w:val="single" w:color="auto" w:sz="4" w:space="0"/>
              <w:right w:val="single" w:color="auto" w:sz="4" w:space="0"/>
            </w:tcBorders>
          </w:tcPr>
          <w:p w14:paraId="6AC346E4">
            <w:pPr>
              <w:jc w:val="center"/>
              <w:rPr>
                <w:rFonts w:hint="eastAsia" w:ascii="宋体" w:hAnsi="宋体"/>
                <w:sz w:val="18"/>
                <w:szCs w:val="18"/>
              </w:rPr>
            </w:pPr>
          </w:p>
        </w:tc>
      </w:tr>
      <w:tr w14:paraId="47E75ED8">
        <w:tblPrEx>
          <w:tblCellMar>
            <w:top w:w="0" w:type="dxa"/>
            <w:left w:w="28" w:type="dxa"/>
            <w:bottom w:w="0" w:type="dxa"/>
            <w:right w:w="28" w:type="dxa"/>
          </w:tblCellMar>
        </w:tblPrEx>
        <w:trPr>
          <w:cantSplit/>
          <w:jc w:val="center"/>
        </w:trPr>
        <w:tc>
          <w:tcPr>
            <w:tcW w:w="1271" w:type="dxa"/>
            <w:vMerge w:val="continue"/>
            <w:tcBorders>
              <w:left w:val="single" w:color="auto" w:sz="4" w:space="0"/>
              <w:right w:val="single" w:color="auto" w:sz="4" w:space="0"/>
            </w:tcBorders>
          </w:tcPr>
          <w:p w14:paraId="3198B057">
            <w:pPr>
              <w:rPr>
                <w:rFonts w:hint="eastAsia" w:ascii="宋体" w:hAnsi="宋体"/>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14:paraId="49B1CF66">
            <w:pPr>
              <w:jc w:val="center"/>
              <w:rPr>
                <w:rFonts w:hint="eastAsia" w:ascii="宋体" w:hAnsi="宋体"/>
                <w:sz w:val="18"/>
                <w:szCs w:val="18"/>
              </w:rPr>
            </w:pPr>
            <w:r>
              <w:rPr>
                <w:rFonts w:hint="eastAsia" w:ascii="宋体" w:hAnsi="宋体"/>
                <w:sz w:val="18"/>
                <w:szCs w:val="18"/>
              </w:rPr>
              <w:t>吊装角件</w:t>
            </w:r>
          </w:p>
        </w:tc>
        <w:tc>
          <w:tcPr>
            <w:tcW w:w="1701" w:type="dxa"/>
            <w:tcBorders>
              <w:top w:val="single" w:color="auto" w:sz="4" w:space="0"/>
              <w:left w:val="single" w:color="auto" w:sz="4" w:space="0"/>
              <w:bottom w:val="single" w:color="auto" w:sz="4" w:space="0"/>
              <w:right w:val="single" w:color="auto" w:sz="4" w:space="0"/>
            </w:tcBorders>
          </w:tcPr>
          <w:p w14:paraId="456E5512">
            <w:pPr>
              <w:jc w:val="center"/>
              <w:rPr>
                <w:rFonts w:hint="eastAsia" w:ascii="宋体" w:hAnsi="宋体"/>
                <w:sz w:val="18"/>
                <w:szCs w:val="18"/>
              </w:rPr>
            </w:pPr>
            <w:r>
              <w:rPr>
                <w:rFonts w:hint="eastAsia" w:ascii="宋体" w:hAnsi="宋体"/>
                <w:sz w:val="18"/>
                <w:szCs w:val="18"/>
              </w:rPr>
              <w:t>丙烯酸面漆</w:t>
            </w:r>
          </w:p>
        </w:tc>
        <w:tc>
          <w:tcPr>
            <w:tcW w:w="1857" w:type="dxa"/>
            <w:tcBorders>
              <w:top w:val="single" w:color="auto" w:sz="4" w:space="0"/>
              <w:left w:val="single" w:color="auto" w:sz="4" w:space="0"/>
              <w:bottom w:val="single" w:color="auto" w:sz="4" w:space="0"/>
              <w:right w:val="single" w:color="auto" w:sz="4" w:space="0"/>
            </w:tcBorders>
            <w:vAlign w:val="center"/>
          </w:tcPr>
          <w:p w14:paraId="34C26549">
            <w:pPr>
              <w:jc w:val="center"/>
              <w:rPr>
                <w:rFonts w:hint="eastAsia" w:ascii="宋体" w:hAnsi="宋体"/>
                <w:sz w:val="18"/>
                <w:szCs w:val="18"/>
              </w:rPr>
            </w:pPr>
            <w:r>
              <w:rPr>
                <w:rFonts w:hint="eastAsia" w:ascii="宋体" w:hAnsi="宋体"/>
                <w:sz w:val="18"/>
                <w:szCs w:val="18"/>
              </w:rPr>
              <w:t>红色</w:t>
            </w:r>
          </w:p>
        </w:tc>
        <w:tc>
          <w:tcPr>
            <w:tcW w:w="1786" w:type="dxa"/>
            <w:vMerge w:val="continue"/>
            <w:tcBorders>
              <w:left w:val="single" w:color="auto" w:sz="4" w:space="0"/>
              <w:right w:val="single" w:color="auto" w:sz="4" w:space="0"/>
            </w:tcBorders>
          </w:tcPr>
          <w:p w14:paraId="20B481E1">
            <w:pPr>
              <w:jc w:val="center"/>
              <w:rPr>
                <w:rFonts w:hint="eastAsia" w:ascii="宋体" w:hAnsi="宋体"/>
                <w:sz w:val="18"/>
                <w:szCs w:val="18"/>
              </w:rPr>
            </w:pPr>
          </w:p>
        </w:tc>
      </w:tr>
      <w:tr w14:paraId="27265436">
        <w:tblPrEx>
          <w:tblCellMar>
            <w:top w:w="0" w:type="dxa"/>
            <w:left w:w="28" w:type="dxa"/>
            <w:bottom w:w="0" w:type="dxa"/>
            <w:right w:w="28" w:type="dxa"/>
          </w:tblCellMar>
        </w:tblPrEx>
        <w:trPr>
          <w:cantSplit/>
          <w:trHeight w:val="458" w:hRule="atLeast"/>
          <w:jc w:val="center"/>
        </w:trPr>
        <w:tc>
          <w:tcPr>
            <w:tcW w:w="1271" w:type="dxa"/>
            <w:vMerge w:val="continue"/>
            <w:tcBorders>
              <w:left w:val="single" w:color="auto" w:sz="4" w:space="0"/>
              <w:right w:val="single" w:color="auto" w:sz="4" w:space="0"/>
            </w:tcBorders>
          </w:tcPr>
          <w:p w14:paraId="122E5099">
            <w:pPr>
              <w:rPr>
                <w:rFonts w:hint="eastAsia" w:ascii="宋体" w:hAnsi="宋体"/>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14:paraId="15D6C60A">
            <w:pPr>
              <w:jc w:val="center"/>
              <w:rPr>
                <w:rFonts w:hint="eastAsia" w:ascii="宋体" w:hAnsi="宋体"/>
                <w:sz w:val="18"/>
                <w:szCs w:val="18"/>
              </w:rPr>
            </w:pPr>
            <w:r>
              <w:rPr>
                <w:rFonts w:hint="eastAsia" w:ascii="宋体" w:hAnsi="宋体"/>
                <w:sz w:val="18"/>
                <w:szCs w:val="18"/>
              </w:rPr>
              <w:t>箱体对接侧</w:t>
            </w:r>
          </w:p>
        </w:tc>
        <w:tc>
          <w:tcPr>
            <w:tcW w:w="1701" w:type="dxa"/>
            <w:tcBorders>
              <w:top w:val="single" w:color="auto" w:sz="4" w:space="0"/>
              <w:left w:val="single" w:color="auto" w:sz="4" w:space="0"/>
              <w:bottom w:val="single" w:color="auto" w:sz="4" w:space="0"/>
              <w:right w:val="single" w:color="auto" w:sz="4" w:space="0"/>
            </w:tcBorders>
          </w:tcPr>
          <w:p w14:paraId="6B7839E8">
            <w:pPr>
              <w:jc w:val="center"/>
              <w:rPr>
                <w:rFonts w:hint="eastAsia" w:ascii="宋体" w:hAnsi="宋体"/>
                <w:sz w:val="18"/>
                <w:szCs w:val="18"/>
              </w:rPr>
            </w:pPr>
            <w:r>
              <w:rPr>
                <w:rFonts w:hint="eastAsia" w:ascii="宋体" w:hAnsi="宋体"/>
                <w:sz w:val="18"/>
                <w:szCs w:val="18"/>
              </w:rPr>
              <w:t>丙烯酸面漆</w:t>
            </w:r>
          </w:p>
        </w:tc>
        <w:tc>
          <w:tcPr>
            <w:tcW w:w="1857" w:type="dxa"/>
            <w:tcBorders>
              <w:top w:val="single" w:color="auto" w:sz="4" w:space="0"/>
              <w:left w:val="single" w:color="auto" w:sz="4" w:space="0"/>
              <w:bottom w:val="single" w:color="auto" w:sz="4" w:space="0"/>
              <w:right w:val="single" w:color="auto" w:sz="4" w:space="0"/>
            </w:tcBorders>
            <w:vAlign w:val="center"/>
          </w:tcPr>
          <w:p w14:paraId="7E527609">
            <w:pPr>
              <w:jc w:val="center"/>
              <w:rPr>
                <w:rFonts w:hint="eastAsia" w:ascii="宋体" w:hAnsi="宋体"/>
                <w:sz w:val="18"/>
                <w:szCs w:val="18"/>
              </w:rPr>
            </w:pPr>
            <w:r>
              <w:rPr>
                <w:rFonts w:hint="eastAsia" w:ascii="宋体" w:hAnsi="宋体"/>
                <w:sz w:val="18"/>
                <w:szCs w:val="18"/>
              </w:rPr>
              <w:t>桔红色</w:t>
            </w:r>
          </w:p>
        </w:tc>
        <w:tc>
          <w:tcPr>
            <w:tcW w:w="1786" w:type="dxa"/>
            <w:vMerge w:val="continue"/>
            <w:tcBorders>
              <w:left w:val="single" w:color="auto" w:sz="4" w:space="0"/>
              <w:right w:val="single" w:color="auto" w:sz="4" w:space="0"/>
            </w:tcBorders>
          </w:tcPr>
          <w:p w14:paraId="3C8721BE">
            <w:pPr>
              <w:jc w:val="center"/>
              <w:rPr>
                <w:rFonts w:hint="eastAsia" w:ascii="宋体" w:hAnsi="宋体"/>
                <w:sz w:val="18"/>
                <w:szCs w:val="18"/>
              </w:rPr>
            </w:pPr>
          </w:p>
        </w:tc>
      </w:tr>
      <w:tr w14:paraId="1BFBCDA9">
        <w:tblPrEx>
          <w:tblCellMar>
            <w:top w:w="0" w:type="dxa"/>
            <w:left w:w="28" w:type="dxa"/>
            <w:bottom w:w="0" w:type="dxa"/>
            <w:right w:w="28" w:type="dxa"/>
          </w:tblCellMar>
        </w:tblPrEx>
        <w:trPr>
          <w:cantSplit/>
          <w:trHeight w:val="280" w:hRule="atLeast"/>
          <w:jc w:val="center"/>
        </w:trPr>
        <w:tc>
          <w:tcPr>
            <w:tcW w:w="1271" w:type="dxa"/>
            <w:vMerge w:val="continue"/>
            <w:tcBorders>
              <w:left w:val="single" w:color="auto" w:sz="4" w:space="0"/>
              <w:bottom w:val="single" w:color="auto" w:sz="4" w:space="0"/>
              <w:right w:val="single" w:color="auto" w:sz="4" w:space="0"/>
            </w:tcBorders>
          </w:tcPr>
          <w:p w14:paraId="04795B76">
            <w:pPr>
              <w:rPr>
                <w:rFonts w:hint="eastAsia" w:ascii="宋体" w:hAnsi="宋体"/>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14:paraId="3EB6680D">
            <w:pPr>
              <w:jc w:val="center"/>
              <w:rPr>
                <w:rFonts w:hint="eastAsia" w:ascii="宋体" w:hAnsi="宋体"/>
                <w:sz w:val="18"/>
                <w:szCs w:val="18"/>
              </w:rPr>
            </w:pPr>
            <w:r>
              <w:rPr>
                <w:rFonts w:hint="eastAsia" w:ascii="宋体" w:hAnsi="宋体"/>
                <w:sz w:val="18"/>
                <w:szCs w:val="18"/>
              </w:rPr>
              <w:t>箱体</w:t>
            </w:r>
          </w:p>
        </w:tc>
        <w:tc>
          <w:tcPr>
            <w:tcW w:w="1701" w:type="dxa"/>
            <w:tcBorders>
              <w:top w:val="single" w:color="auto" w:sz="4" w:space="0"/>
              <w:left w:val="single" w:color="auto" w:sz="4" w:space="0"/>
              <w:bottom w:val="single" w:color="auto" w:sz="4" w:space="0"/>
              <w:right w:val="single" w:color="auto" w:sz="4" w:space="0"/>
            </w:tcBorders>
            <w:vAlign w:val="center"/>
          </w:tcPr>
          <w:p w14:paraId="76C29EAD">
            <w:pPr>
              <w:jc w:val="center"/>
              <w:rPr>
                <w:rFonts w:hint="eastAsia" w:ascii="宋体" w:hAnsi="宋体"/>
                <w:sz w:val="18"/>
                <w:szCs w:val="18"/>
              </w:rPr>
            </w:pPr>
            <w:r>
              <w:rPr>
                <w:rFonts w:hint="eastAsia" w:ascii="宋体" w:hAnsi="宋体"/>
                <w:sz w:val="18"/>
                <w:szCs w:val="18"/>
              </w:rPr>
              <w:t>丙烯酸面漆</w:t>
            </w:r>
          </w:p>
        </w:tc>
        <w:tc>
          <w:tcPr>
            <w:tcW w:w="1857" w:type="dxa"/>
            <w:tcBorders>
              <w:top w:val="single" w:color="auto" w:sz="4" w:space="0"/>
              <w:left w:val="single" w:color="auto" w:sz="4" w:space="0"/>
              <w:bottom w:val="single" w:color="auto" w:sz="4" w:space="0"/>
              <w:right w:val="single" w:color="auto" w:sz="4" w:space="0"/>
            </w:tcBorders>
            <w:vAlign w:val="center"/>
          </w:tcPr>
          <w:p w14:paraId="234E3887">
            <w:pPr>
              <w:jc w:val="center"/>
              <w:rPr>
                <w:rFonts w:hint="eastAsia" w:ascii="宋体" w:hAnsi="宋体"/>
                <w:sz w:val="18"/>
                <w:szCs w:val="18"/>
              </w:rPr>
            </w:pPr>
            <w:r>
              <w:rPr>
                <w:rFonts w:hint="eastAsia" w:ascii="宋体" w:hAnsi="宋体"/>
                <w:sz w:val="18"/>
                <w:szCs w:val="18"/>
              </w:rPr>
              <w:t>蓝色</w:t>
            </w:r>
          </w:p>
        </w:tc>
        <w:tc>
          <w:tcPr>
            <w:tcW w:w="1786" w:type="dxa"/>
            <w:vMerge w:val="continue"/>
            <w:tcBorders>
              <w:left w:val="single" w:color="auto" w:sz="4" w:space="0"/>
              <w:bottom w:val="single" w:color="auto" w:sz="4" w:space="0"/>
              <w:right w:val="single" w:color="auto" w:sz="4" w:space="0"/>
            </w:tcBorders>
          </w:tcPr>
          <w:p w14:paraId="0ADB5941">
            <w:pPr>
              <w:jc w:val="center"/>
              <w:rPr>
                <w:rFonts w:hint="eastAsia" w:ascii="宋体" w:hAnsi="宋体"/>
                <w:sz w:val="18"/>
                <w:szCs w:val="18"/>
              </w:rPr>
            </w:pPr>
          </w:p>
        </w:tc>
      </w:tr>
      <w:tr w14:paraId="3AEAB688">
        <w:tblPrEx>
          <w:tblCellMar>
            <w:top w:w="0" w:type="dxa"/>
            <w:left w:w="28" w:type="dxa"/>
            <w:bottom w:w="0" w:type="dxa"/>
            <w:right w:w="28" w:type="dxa"/>
          </w:tblCellMar>
        </w:tblPrEx>
        <w:trPr>
          <w:cantSplit/>
          <w:jc w:val="center"/>
        </w:trPr>
        <w:tc>
          <w:tcPr>
            <w:tcW w:w="6672" w:type="dxa"/>
            <w:gridSpan w:val="4"/>
            <w:tcBorders>
              <w:top w:val="single" w:color="auto" w:sz="4" w:space="0"/>
              <w:left w:val="single" w:color="auto" w:sz="4" w:space="0"/>
              <w:bottom w:val="single" w:color="auto" w:sz="4" w:space="0"/>
              <w:right w:val="single" w:color="auto" w:sz="4" w:space="0"/>
            </w:tcBorders>
          </w:tcPr>
          <w:p w14:paraId="260D84F8">
            <w:pPr>
              <w:jc w:val="center"/>
              <w:rPr>
                <w:rFonts w:hint="eastAsia" w:ascii="宋体" w:hAnsi="宋体"/>
                <w:sz w:val="18"/>
                <w:szCs w:val="18"/>
              </w:rPr>
            </w:pPr>
            <w:r>
              <w:rPr>
                <w:rFonts w:hint="eastAsia" w:ascii="宋体" w:hAnsi="宋体"/>
                <w:sz w:val="18"/>
                <w:szCs w:val="18"/>
              </w:rPr>
              <w:t>合计</w:t>
            </w:r>
          </w:p>
        </w:tc>
        <w:tc>
          <w:tcPr>
            <w:tcW w:w="1786" w:type="dxa"/>
            <w:tcBorders>
              <w:top w:val="single" w:color="auto" w:sz="4" w:space="0"/>
              <w:left w:val="single" w:color="auto" w:sz="4" w:space="0"/>
              <w:bottom w:val="single" w:color="auto" w:sz="4" w:space="0"/>
              <w:right w:val="single" w:color="auto" w:sz="4" w:space="0"/>
            </w:tcBorders>
          </w:tcPr>
          <w:p w14:paraId="6FB2D6E3">
            <w:pPr>
              <w:jc w:val="center"/>
              <w:rPr>
                <w:rFonts w:hint="eastAsia" w:ascii="宋体" w:hAnsi="宋体"/>
                <w:sz w:val="18"/>
                <w:szCs w:val="18"/>
              </w:rPr>
            </w:pPr>
            <w:r>
              <w:rPr>
                <w:rFonts w:hint="eastAsia" w:ascii="宋体" w:hAnsi="宋体"/>
                <w:sz w:val="18"/>
                <w:szCs w:val="18"/>
              </w:rPr>
              <w:t>120</w:t>
            </w:r>
          </w:p>
        </w:tc>
      </w:tr>
    </w:tbl>
    <w:p w14:paraId="7F815912">
      <w:pPr>
        <w:pStyle w:val="162"/>
      </w:pPr>
      <w:r>
        <w:rPr>
          <w:rFonts w:hint="eastAsia"/>
        </w:rPr>
        <w:t>转换平台式集装箱箱体上的识别标记、尺寸和箱型代码、作业标记除应符合GB/T 1836的规定外，还应符合下述规定。</w:t>
      </w:r>
    </w:p>
    <w:p w14:paraId="20430559">
      <w:pPr>
        <w:pStyle w:val="174"/>
        <w:numPr>
          <w:ilvl w:val="0"/>
          <w:numId w:val="34"/>
        </w:numPr>
      </w:pPr>
      <w:r>
        <w:rPr>
          <w:rFonts w:hint="eastAsia"/>
        </w:rPr>
        <w:t>转换平台式集装箱箱体上还应标记以下内容：</w:t>
      </w:r>
    </w:p>
    <w:p w14:paraId="4C856147">
      <w:pPr>
        <w:pStyle w:val="109"/>
      </w:pPr>
      <w:r>
        <w:rPr>
          <w:rFonts w:hint="eastAsia"/>
        </w:rPr>
        <w:t>箱主名称；</w:t>
      </w:r>
    </w:p>
    <w:p w14:paraId="33F1B457">
      <w:pPr>
        <w:pStyle w:val="109"/>
      </w:pPr>
      <w:r>
        <w:rPr>
          <w:rFonts w:hint="eastAsia"/>
        </w:rPr>
        <w:t xml:space="preserve">最大总质量：             kg      lb  </w:t>
      </w:r>
    </w:p>
    <w:p w14:paraId="5AA03563">
      <w:pPr>
        <w:pStyle w:val="109"/>
      </w:pPr>
      <w:r>
        <w:rPr>
          <w:rFonts w:hint="eastAsia"/>
        </w:rPr>
        <w:t xml:space="preserve">空箱质量：              kg      lb  </w:t>
      </w:r>
    </w:p>
    <w:p w14:paraId="4F2CF141">
      <w:pPr>
        <w:pStyle w:val="109"/>
      </w:pPr>
      <w:r>
        <w:rPr>
          <w:rFonts w:hint="eastAsia"/>
        </w:rPr>
        <w:t>总净载质量：            kg      lb</w:t>
      </w:r>
    </w:p>
    <w:p w14:paraId="0A301FBC">
      <w:pPr>
        <w:pStyle w:val="109"/>
      </w:pPr>
      <w:r>
        <w:rPr>
          <w:rFonts w:hint="eastAsia"/>
        </w:rPr>
        <w:t>每个箱位的净载质量：     kg      lb</w:t>
      </w:r>
    </w:p>
    <w:p w14:paraId="7F1395D0">
      <w:pPr>
        <w:pStyle w:val="174"/>
      </w:pPr>
      <w:r>
        <w:rPr>
          <w:rFonts w:hint="eastAsia" w:hAnsi="宋体" w:cs="宋体"/>
        </w:rPr>
        <w:t>转换平台式集装箱箱体上应标记宽度标记，宽度标满足JT/T 1463的要求。</w:t>
      </w:r>
    </w:p>
    <w:p w14:paraId="33AE83AB">
      <w:pPr>
        <w:pStyle w:val="174"/>
      </w:pPr>
      <w:r>
        <w:rPr>
          <w:rFonts w:hint="eastAsia" w:hAnsi="宋体" w:cs="宋体"/>
        </w:rPr>
        <w:t>应在转换平台式集装箱的起吊位置做出明显标记。</w:t>
      </w:r>
    </w:p>
    <w:p w14:paraId="42EE7AD8">
      <w:pPr>
        <w:pStyle w:val="56"/>
        <w:ind w:firstLine="420"/>
      </w:pPr>
    </w:p>
    <w:p w14:paraId="4C6286CE">
      <w:pPr>
        <w:pStyle w:val="56"/>
        <w:ind w:firstLine="420"/>
      </w:pPr>
    </w:p>
    <w:p w14:paraId="66AE1166">
      <w:pPr>
        <w:pStyle w:val="56"/>
        <w:ind w:firstLine="420"/>
      </w:pPr>
    </w:p>
    <w:p w14:paraId="5503728C">
      <w:pPr>
        <w:pStyle w:val="56"/>
        <w:ind w:firstLine="420"/>
        <w:sectPr>
          <w:pgSz w:w="11906" w:h="16838"/>
          <w:pgMar w:top="1928" w:right="1134" w:bottom="1134" w:left="1134" w:header="1418" w:footer="1134" w:gutter="284"/>
          <w:pgNumType w:start="1"/>
          <w:cols w:space="425" w:num="1"/>
          <w:formProt w:val="0"/>
          <w:docGrid w:linePitch="312" w:charSpace="0"/>
        </w:sectPr>
      </w:pPr>
    </w:p>
    <w:bookmarkEnd w:id="24"/>
    <w:p w14:paraId="1B2892F2">
      <w:pPr>
        <w:pStyle w:val="198"/>
        <w:rPr>
          <w:rFonts w:hint="eastAsia"/>
        </w:rPr>
      </w:pPr>
      <w:bookmarkStart w:id="85" w:name="BookMark5"/>
    </w:p>
    <w:p w14:paraId="7919E711">
      <w:pPr>
        <w:pStyle w:val="199"/>
      </w:pPr>
    </w:p>
    <w:p w14:paraId="66DF5903">
      <w:pPr>
        <w:pStyle w:val="76"/>
        <w:spacing w:after="120"/>
      </w:pPr>
      <w:r>
        <w:br w:type="textWrapping"/>
      </w:r>
      <w:bookmarkStart w:id="86" w:name="_Toc233641742"/>
      <w:r>
        <w:rPr>
          <w:rFonts w:hint="eastAsia"/>
        </w:rPr>
        <w:t>（资料性）</w:t>
      </w:r>
      <w:r>
        <w:br w:type="textWrapping"/>
      </w:r>
      <w:r>
        <w:rPr>
          <w:rFonts w:hint="eastAsia"/>
        </w:rPr>
        <w:t>转换平台式集装箱的结构和组合示例</w:t>
      </w:r>
      <w:bookmarkEnd w:id="86"/>
    </w:p>
    <w:p w14:paraId="7319B4F8">
      <w:pPr>
        <w:pStyle w:val="78"/>
        <w:spacing w:before="120" w:after="120"/>
      </w:pPr>
      <w:r>
        <w:rPr>
          <w:rFonts w:hint="eastAsia"/>
        </w:rPr>
        <w:t>结构</w:t>
      </w:r>
    </w:p>
    <w:p w14:paraId="42AA2A79">
      <w:pPr>
        <w:pStyle w:val="56"/>
        <w:ind w:firstLine="420"/>
      </w:pPr>
      <w:r>
        <w:rPr>
          <w:rFonts w:hint="eastAsia"/>
        </w:rPr>
        <w:t>转换平台式集装箱根据使用位置不同，可有不同的结构型式，本附录给出了常用的结构型式。</w:t>
      </w:r>
    </w:p>
    <w:p w14:paraId="35ECDE82">
      <w:pPr>
        <w:pStyle w:val="79"/>
        <w:spacing w:before="120" w:after="120"/>
      </w:pPr>
      <w:r>
        <w:rPr>
          <w:rFonts w:hint="eastAsia"/>
        </w:rPr>
        <w:t>结构1</w:t>
      </w:r>
      <w:bookmarkStart w:id="87" w:name="OLE_LINK15"/>
    </w:p>
    <w:p w14:paraId="5EE97A28">
      <w:pPr>
        <w:pStyle w:val="56"/>
        <w:ind w:firstLine="420"/>
      </w:pPr>
      <w:r>
        <w:rPr>
          <w:rFonts w:hint="eastAsia"/>
        </w:rPr>
        <w:t>换平台式集装箱下部布设4个系列1集装箱箱位，上部从左向右布设3个完整</w:t>
      </w:r>
      <w:bookmarkStart w:id="88" w:name="OLE_LINK14"/>
      <w:r>
        <w:rPr>
          <w:rFonts w:hint="eastAsia"/>
        </w:rPr>
        <w:t>系列2集装箱</w:t>
      </w:r>
      <w:bookmarkEnd w:id="88"/>
      <w:r>
        <w:rPr>
          <w:rFonts w:hint="eastAsia"/>
        </w:rPr>
        <w:t>箱位和1个不完整系列2集装箱箱位，结构1示意图见附图A</w:t>
      </w:r>
      <w:r>
        <w:t>1</w:t>
      </w:r>
      <w:r>
        <w:rPr>
          <w:rFonts w:hint="eastAsia"/>
        </w:rPr>
        <w:t>。</w:t>
      </w:r>
      <w:bookmarkEnd w:id="87"/>
    </w:p>
    <w:p w14:paraId="325D0D46">
      <w:pPr>
        <w:pStyle w:val="56"/>
        <w:ind w:left="0" w:leftChars="0" w:firstLine="0" w:firstLineChars="0"/>
        <w:jc w:val="center"/>
        <w:rPr>
          <w:strike/>
        </w:rPr>
      </w:pPr>
      <w:r>
        <w:drawing>
          <wp:inline distT="0" distB="0" distL="114300" distR="114300">
            <wp:extent cx="3028950" cy="145161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8"/>
                    <a:srcRect t="4226" b="6811"/>
                    <a:stretch>
                      <a:fillRect/>
                    </a:stretch>
                  </pic:blipFill>
                  <pic:spPr>
                    <a:xfrm>
                      <a:off x="0" y="0"/>
                      <a:ext cx="3070626" cy="1471971"/>
                    </a:xfrm>
                    <a:prstGeom prst="rect">
                      <a:avLst/>
                    </a:prstGeom>
                    <a:noFill/>
                    <a:ln>
                      <a:noFill/>
                    </a:ln>
                  </pic:spPr>
                </pic:pic>
              </a:graphicData>
            </a:graphic>
          </wp:inline>
        </w:drawing>
      </w:r>
      <w:r>
        <w:drawing>
          <wp:inline distT="0" distB="0" distL="114300" distR="114300">
            <wp:extent cx="2410460" cy="1001395"/>
            <wp:effectExtent l="0" t="0" r="8890" b="8255"/>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9"/>
                    <a:srcRect t="14272" b="20662"/>
                    <a:stretch>
                      <a:fillRect/>
                    </a:stretch>
                  </pic:blipFill>
                  <pic:spPr>
                    <a:xfrm>
                      <a:off x="0" y="0"/>
                      <a:ext cx="2410460" cy="1001395"/>
                    </a:xfrm>
                    <a:prstGeom prst="rect">
                      <a:avLst/>
                    </a:prstGeom>
                    <a:noFill/>
                    <a:ln>
                      <a:noFill/>
                    </a:ln>
                  </pic:spPr>
                </pic:pic>
              </a:graphicData>
            </a:graphic>
          </wp:inline>
        </w:drawing>
      </w:r>
    </w:p>
    <w:p w14:paraId="4D203919">
      <w:pPr>
        <w:pStyle w:val="56"/>
        <w:ind w:firstLine="420"/>
        <w:rPr>
          <w:strike/>
        </w:rPr>
      </w:pPr>
    </w:p>
    <w:p w14:paraId="6869231B">
      <w:pPr>
        <w:pStyle w:val="211"/>
        <w:numPr>
          <w:ilvl w:val="0"/>
          <w:numId w:val="0"/>
        </w:numPr>
        <w:ind w:left="3780" w:leftChars="1800" w:firstLine="3024" w:firstLineChars="1440"/>
      </w:pPr>
      <w:r>
        <w:rPr>
          <w:rFonts w:hint="eastAsia"/>
        </w:rPr>
        <w:t>A向视图</w:t>
      </w:r>
    </w:p>
    <w:p w14:paraId="21AFA763">
      <w:pPr>
        <w:pStyle w:val="83"/>
        <w:spacing w:before="120" w:after="120"/>
      </w:pPr>
      <w:r>
        <w:rPr>
          <w:rFonts w:hint="eastAsia"/>
        </w:rPr>
        <w:t>结构1示意图</w:t>
      </w:r>
    </w:p>
    <w:p w14:paraId="31F9A461">
      <w:pPr>
        <w:pStyle w:val="79"/>
        <w:spacing w:before="120" w:after="120"/>
      </w:pPr>
      <w:r>
        <w:rPr>
          <w:rFonts w:hint="eastAsia"/>
        </w:rPr>
        <w:t>结构2</w:t>
      </w:r>
    </w:p>
    <w:p w14:paraId="2B4E167B">
      <w:pPr>
        <w:pStyle w:val="56"/>
        <w:ind w:firstLine="420"/>
      </w:pPr>
      <w:r>
        <w:rPr>
          <w:rFonts w:hint="eastAsia"/>
        </w:rPr>
        <w:t>转换平台式集装箱下部布设4个系列1集装箱箱位，上部中间位置布设3个完整系列2集装箱箱位，两侧各有1个不完整系列2集装箱箱位，结构2示意图见附图A2。</w:t>
      </w:r>
    </w:p>
    <w:p w14:paraId="5DF4E064">
      <w:pPr>
        <w:pStyle w:val="56"/>
        <w:ind w:left="0" w:leftChars="0" w:firstLine="0" w:firstLineChars="0"/>
        <w:jc w:val="center"/>
      </w:pPr>
      <w:r>
        <w:drawing>
          <wp:inline distT="0" distB="0" distL="114300" distR="114300">
            <wp:extent cx="2506980" cy="1238250"/>
            <wp:effectExtent l="0" t="0" r="762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20"/>
                    <a:srcRect t="4473" b="9108"/>
                    <a:stretch>
                      <a:fillRect/>
                    </a:stretch>
                  </pic:blipFill>
                  <pic:spPr>
                    <a:xfrm>
                      <a:off x="0" y="0"/>
                      <a:ext cx="2548312" cy="1259141"/>
                    </a:xfrm>
                    <a:prstGeom prst="rect">
                      <a:avLst/>
                    </a:prstGeom>
                    <a:noFill/>
                    <a:ln>
                      <a:noFill/>
                    </a:ln>
                  </pic:spPr>
                </pic:pic>
              </a:graphicData>
            </a:graphic>
          </wp:inline>
        </w:drawing>
      </w:r>
      <w:r>
        <w:drawing>
          <wp:inline distT="0" distB="0" distL="114300" distR="114300">
            <wp:extent cx="2642235" cy="1024890"/>
            <wp:effectExtent l="0" t="0" r="5715" b="381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21"/>
                    <a:srcRect t="13351" b="13061"/>
                    <a:stretch>
                      <a:fillRect/>
                    </a:stretch>
                  </pic:blipFill>
                  <pic:spPr>
                    <a:xfrm>
                      <a:off x="0" y="0"/>
                      <a:ext cx="2642235" cy="1024890"/>
                    </a:xfrm>
                    <a:prstGeom prst="rect">
                      <a:avLst/>
                    </a:prstGeom>
                    <a:noFill/>
                    <a:ln>
                      <a:noFill/>
                    </a:ln>
                  </pic:spPr>
                </pic:pic>
              </a:graphicData>
            </a:graphic>
          </wp:inline>
        </w:drawing>
      </w:r>
    </w:p>
    <w:p w14:paraId="4EF134EF">
      <w:pPr>
        <w:pStyle w:val="56"/>
        <w:ind w:firstLine="6094" w:firstLineChars="2902"/>
      </w:pPr>
      <w:r>
        <w:rPr>
          <w:rFonts w:hint="eastAsia"/>
        </w:rPr>
        <w:t>A向视图</w:t>
      </w:r>
    </w:p>
    <w:p w14:paraId="0BD4BA82">
      <w:pPr>
        <w:pStyle w:val="56"/>
        <w:ind w:firstLine="6094" w:firstLineChars="2902"/>
      </w:pPr>
    </w:p>
    <w:p w14:paraId="0C1CBA01">
      <w:pPr>
        <w:pStyle w:val="83"/>
        <w:spacing w:before="120" w:after="120"/>
      </w:pPr>
      <w:r>
        <w:rPr>
          <w:rFonts w:hint="eastAsia"/>
        </w:rPr>
        <w:t>结构2示意图</w:t>
      </w:r>
    </w:p>
    <w:p w14:paraId="76677521">
      <w:pPr>
        <w:pStyle w:val="79"/>
        <w:spacing w:before="120" w:after="120"/>
      </w:pPr>
      <w:r>
        <w:rPr>
          <w:rFonts w:hint="eastAsia"/>
        </w:rPr>
        <w:t>结构3</w:t>
      </w:r>
    </w:p>
    <w:p w14:paraId="1184E825">
      <w:pPr>
        <w:pStyle w:val="56"/>
        <w:ind w:firstLine="420"/>
        <w:rPr>
          <w:rFonts w:hint="eastAsia" w:hAnsi="宋体" w:cs="宋体"/>
        </w:rPr>
      </w:pPr>
      <w:r>
        <w:rPr>
          <w:rFonts w:hint="eastAsia" w:ascii="宋体" w:hAnsi="宋体" w:cs="宋体"/>
        </w:rPr>
        <w:t>转换平台式集装</w:t>
      </w:r>
      <w:r>
        <w:rPr>
          <w:rFonts w:hint="eastAsia"/>
        </w:rPr>
        <w:t>箱下部布设3个系列1集装箱箱位，</w:t>
      </w:r>
      <w:r>
        <w:t>上部中间位置</w:t>
      </w:r>
      <w:r>
        <w:rPr>
          <w:rFonts w:hint="eastAsia"/>
        </w:rPr>
        <w:t>布设2个完整系列2集装箱箱位，</w:t>
      </w:r>
      <w:r>
        <w:t>两端各有</w:t>
      </w:r>
      <w:r>
        <w:rPr>
          <w:rFonts w:hint="eastAsia"/>
        </w:rPr>
        <w:t>1个不完整系列2集装箱箱位，</w:t>
      </w:r>
      <w:r>
        <w:t>结构3</w:t>
      </w:r>
      <w:r>
        <w:rPr>
          <w:rFonts w:hint="eastAsia"/>
        </w:rPr>
        <w:t>示意图见附图A3。</w:t>
      </w:r>
    </w:p>
    <w:p w14:paraId="44305329">
      <w:pPr>
        <w:pStyle w:val="212"/>
        <w:numPr>
          <w:ilvl w:val="0"/>
          <w:numId w:val="0"/>
        </w:numPr>
        <w:jc w:val="center"/>
      </w:pPr>
      <w:r>
        <w:drawing>
          <wp:inline distT="0" distB="0" distL="114300" distR="114300">
            <wp:extent cx="2465705" cy="1053465"/>
            <wp:effectExtent l="0" t="0" r="0" b="0"/>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pic:cNvPicPr>
                      <a:picLocks noChangeAspect="1"/>
                    </pic:cNvPicPr>
                  </pic:nvPicPr>
                  <pic:blipFill>
                    <a:blip r:embed="rId22"/>
                    <a:srcRect t="13046" b="8282"/>
                    <a:stretch>
                      <a:fillRect/>
                    </a:stretch>
                  </pic:blipFill>
                  <pic:spPr>
                    <a:xfrm>
                      <a:off x="0" y="0"/>
                      <a:ext cx="2483495" cy="1061243"/>
                    </a:xfrm>
                    <a:prstGeom prst="rect">
                      <a:avLst/>
                    </a:prstGeom>
                    <a:noFill/>
                    <a:ln>
                      <a:noFill/>
                    </a:ln>
                  </pic:spPr>
                </pic:pic>
              </a:graphicData>
            </a:graphic>
          </wp:inline>
        </w:drawing>
      </w:r>
      <w:r>
        <w:rPr>
          <w:rFonts w:hint="eastAsia"/>
        </w:rPr>
        <w:t xml:space="preserve">  </w:t>
      </w:r>
      <w:r>
        <w:drawing>
          <wp:inline distT="0" distB="0" distL="114300" distR="114300">
            <wp:extent cx="2776855" cy="918210"/>
            <wp:effectExtent l="0" t="0" r="4445" b="152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23"/>
                    <a:srcRect t="7547" b="9639"/>
                    <a:stretch>
                      <a:fillRect/>
                    </a:stretch>
                  </pic:blipFill>
                  <pic:spPr>
                    <a:xfrm>
                      <a:off x="0" y="0"/>
                      <a:ext cx="2776855" cy="918210"/>
                    </a:xfrm>
                    <a:prstGeom prst="rect">
                      <a:avLst/>
                    </a:prstGeom>
                    <a:noFill/>
                    <a:ln>
                      <a:noFill/>
                    </a:ln>
                  </pic:spPr>
                </pic:pic>
              </a:graphicData>
            </a:graphic>
          </wp:inline>
        </w:drawing>
      </w:r>
    </w:p>
    <w:p w14:paraId="1D54B465">
      <w:pPr>
        <w:pStyle w:val="212"/>
        <w:numPr>
          <w:ilvl w:val="0"/>
          <w:numId w:val="0"/>
        </w:numPr>
        <w:ind w:firstLine="6090" w:firstLineChars="2900"/>
      </w:pPr>
      <w:r>
        <w:rPr>
          <w:rFonts w:hint="eastAsia"/>
        </w:rPr>
        <w:t>A向视图</w:t>
      </w:r>
    </w:p>
    <w:p w14:paraId="076F4875">
      <w:pPr>
        <w:pStyle w:val="83"/>
        <w:spacing w:before="120" w:after="120"/>
      </w:pPr>
      <w:r>
        <w:rPr>
          <w:rFonts w:hint="eastAsia"/>
        </w:rPr>
        <w:t>结构3示意图</w:t>
      </w:r>
    </w:p>
    <w:p w14:paraId="6EA94086">
      <w:pPr>
        <w:pStyle w:val="79"/>
        <w:spacing w:before="120" w:after="120"/>
      </w:pPr>
      <w:bookmarkStart w:id="89" w:name="OLE_LINK16"/>
      <w:r>
        <w:rPr>
          <w:rFonts w:hint="eastAsia"/>
        </w:rPr>
        <w:t>结构</w:t>
      </w:r>
      <w:bookmarkEnd w:id="89"/>
      <w:r>
        <w:rPr>
          <w:rFonts w:hint="eastAsia"/>
        </w:rPr>
        <w:t>4</w:t>
      </w:r>
    </w:p>
    <w:p w14:paraId="16105869">
      <w:pPr>
        <w:pStyle w:val="56"/>
        <w:ind w:firstLine="420"/>
      </w:pPr>
      <w:bookmarkStart w:id="90" w:name="OLE_LINK17"/>
      <w:r>
        <w:rPr>
          <w:rFonts w:hint="eastAsia" w:ascii="宋体" w:hAnsi="宋体" w:cs="宋体"/>
        </w:rPr>
        <w:t>转换平台</w:t>
      </w:r>
      <w:r>
        <w:rPr>
          <w:rFonts w:hint="eastAsia"/>
        </w:rPr>
        <w:t>式集装箱下部布设1个系列1集装箱箱位，上部布设2个不完整系列2集装箱箱位，结构4示意图见附图A4。</w:t>
      </w:r>
      <w:bookmarkEnd w:id="90"/>
    </w:p>
    <w:p w14:paraId="2B98FCE7">
      <w:pPr>
        <w:pStyle w:val="56"/>
        <w:ind w:firstLine="420"/>
        <w:rPr>
          <w:rFonts w:hint="eastAsia" w:hAnsi="宋体" w:cs="宋体"/>
        </w:rPr>
      </w:pPr>
      <w:r>
        <w:drawing>
          <wp:inline distT="0" distB="0" distL="114300" distR="114300">
            <wp:extent cx="2327910" cy="1316990"/>
            <wp:effectExtent l="0" t="0" r="0" b="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24"/>
                    <a:srcRect t="6738" b="2679"/>
                    <a:stretch>
                      <a:fillRect/>
                    </a:stretch>
                  </pic:blipFill>
                  <pic:spPr>
                    <a:xfrm flipH="1">
                      <a:off x="0" y="0"/>
                      <a:ext cx="2367917" cy="1339706"/>
                    </a:xfrm>
                    <a:prstGeom prst="rect">
                      <a:avLst/>
                    </a:prstGeom>
                    <a:noFill/>
                    <a:ln>
                      <a:noFill/>
                    </a:ln>
                  </pic:spPr>
                </pic:pic>
              </a:graphicData>
            </a:graphic>
          </wp:inline>
        </w:drawing>
      </w:r>
      <w:r>
        <w:drawing>
          <wp:inline distT="0" distB="0" distL="114300" distR="114300">
            <wp:extent cx="2716530" cy="379730"/>
            <wp:effectExtent l="0" t="0" r="7620" b="127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25"/>
                    <a:srcRect t="32344" b="29808"/>
                    <a:stretch>
                      <a:fillRect/>
                    </a:stretch>
                  </pic:blipFill>
                  <pic:spPr>
                    <a:xfrm>
                      <a:off x="0" y="0"/>
                      <a:ext cx="2757851" cy="385695"/>
                    </a:xfrm>
                    <a:prstGeom prst="rect">
                      <a:avLst/>
                    </a:prstGeom>
                    <a:noFill/>
                    <a:ln>
                      <a:noFill/>
                    </a:ln>
                  </pic:spPr>
                </pic:pic>
              </a:graphicData>
            </a:graphic>
          </wp:inline>
        </w:drawing>
      </w:r>
    </w:p>
    <w:p w14:paraId="48044C7E">
      <w:pPr>
        <w:pStyle w:val="56"/>
        <w:ind w:firstLine="420"/>
        <w:rPr>
          <w:rFonts w:hint="eastAsia" w:hAnsi="宋体" w:cs="宋体"/>
        </w:rPr>
      </w:pPr>
      <w:r>
        <w:rPr>
          <w:rFonts w:hint="eastAsia" w:hAnsi="宋体" w:cs="宋体"/>
        </w:rPr>
        <w:t xml:space="preserve">                                                  </w:t>
      </w:r>
      <w:r>
        <w:rPr>
          <w:rFonts w:hint="eastAsia"/>
        </w:rPr>
        <w:t>A向视图</w:t>
      </w:r>
      <w:r>
        <w:rPr>
          <w:rFonts w:hint="eastAsia" w:hAnsi="宋体" w:cs="宋体"/>
        </w:rPr>
        <w:t xml:space="preserve"> </w:t>
      </w:r>
    </w:p>
    <w:p w14:paraId="77C1CF39">
      <w:pPr>
        <w:pStyle w:val="83"/>
        <w:spacing w:before="120" w:after="120"/>
      </w:pPr>
      <w:r>
        <w:rPr>
          <w:rFonts w:hint="eastAsia"/>
        </w:rPr>
        <w:t>结构4示意图</w:t>
      </w:r>
    </w:p>
    <w:p w14:paraId="453EB434">
      <w:pPr>
        <w:pStyle w:val="78"/>
        <w:spacing w:before="120" w:after="120"/>
      </w:pPr>
      <w:r>
        <w:rPr>
          <w:rFonts w:hint="eastAsia"/>
        </w:rPr>
        <w:t>组合</w:t>
      </w:r>
    </w:p>
    <w:p w14:paraId="11415D57">
      <w:pPr>
        <w:pStyle w:val="56"/>
        <w:ind w:firstLine="420"/>
      </w:pPr>
      <w:r>
        <w:rPr>
          <w:rFonts w:hint="eastAsia"/>
        </w:rPr>
        <w:t>转换平台式集装箱在集装箱船舶上可单独使用，也可组合使用。组合使用时，结构的箱体对接端相邻，相邻的2个不完整系列2集装箱箱位可组成1个完整系列2集装箱箱位。</w:t>
      </w:r>
    </w:p>
    <w:p w14:paraId="0CBB83C0">
      <w:pPr>
        <w:pStyle w:val="79"/>
        <w:spacing w:before="120" w:after="120"/>
      </w:pPr>
      <w:r>
        <w:rPr>
          <w:rFonts w:hint="eastAsia"/>
        </w:rPr>
        <w:t>组合1</w:t>
      </w:r>
    </w:p>
    <w:p w14:paraId="2DE27E10">
      <w:pPr>
        <w:pStyle w:val="56"/>
        <w:ind w:firstLine="420"/>
      </w:pPr>
      <w:r>
        <w:rPr>
          <w:rFonts w:hint="eastAsia"/>
        </w:rPr>
        <w:t>组合1又称“4+4+4组合”，两个结构</w:t>
      </w:r>
      <w:r>
        <w:t>1</w:t>
      </w:r>
      <w:r>
        <w:rPr>
          <w:rFonts w:hint="eastAsia"/>
        </w:rPr>
        <w:t>平行对称布置，结构</w:t>
      </w:r>
      <w:r>
        <w:t>2</w:t>
      </w:r>
      <w:r>
        <w:rPr>
          <w:rFonts w:hint="eastAsia"/>
        </w:rPr>
        <w:t>置于两个结构</w:t>
      </w:r>
      <w:r>
        <w:t>1</w:t>
      </w:r>
      <w:r>
        <w:rPr>
          <w:rFonts w:hint="eastAsia"/>
        </w:rPr>
        <w:t>中间，其下组成</w:t>
      </w:r>
      <w:r>
        <w:t>12</w:t>
      </w:r>
      <w:r>
        <w:rPr>
          <w:rFonts w:hint="eastAsia"/>
        </w:rPr>
        <w:t>个连续的系列</w:t>
      </w:r>
      <w:r>
        <w:t>1</w:t>
      </w:r>
      <w:r>
        <w:rPr>
          <w:rFonts w:hint="eastAsia"/>
        </w:rPr>
        <w:t>集装箱完整箱位，其上组成</w:t>
      </w:r>
      <w:r>
        <w:t>11</w:t>
      </w:r>
      <w:r>
        <w:rPr>
          <w:rFonts w:hint="eastAsia"/>
        </w:rPr>
        <w:t>个系列</w:t>
      </w:r>
      <w:r>
        <w:t>2</w:t>
      </w:r>
      <w:r>
        <w:rPr>
          <w:rFonts w:hint="eastAsia"/>
        </w:rPr>
        <w:t>集装箱完整箱位，组合1示意图见附图A5。</w:t>
      </w:r>
    </w:p>
    <w:p w14:paraId="650AED00">
      <w:pPr>
        <w:pStyle w:val="56"/>
        <w:ind w:firstLine="420"/>
      </w:pPr>
      <w:bookmarkStart w:id="91" w:name="OLE_LINK37"/>
      <w:r>
        <w:rPr>
          <w:rFonts w:hint="eastAsia"/>
        </w:rPr>
        <w:t>根据船舶上箱位空缺情况或者系列2集装箱的数量多少，组合1可变形为</w:t>
      </w:r>
      <w:r>
        <w:rPr>
          <w:rFonts w:hint="eastAsia" w:ascii="Segoe UI Emoji" w:hAnsi="Segoe UI Emoji" w:cs="Segoe UI Emoji"/>
        </w:rPr>
        <w:t>由两个结构1或一个结构1和一个结构2组成的“4+4组合”使用。</w:t>
      </w:r>
    </w:p>
    <w:bookmarkEnd w:id="91"/>
    <w:p w14:paraId="34ECFEDE">
      <w:pPr>
        <w:pStyle w:val="56"/>
        <w:ind w:left="0" w:leftChars="0" w:firstLine="0" w:firstLineChars="0"/>
        <w:jc w:val="center"/>
      </w:pPr>
      <w:r>
        <w:drawing>
          <wp:inline distT="0" distB="0" distL="114300" distR="114300">
            <wp:extent cx="5925185" cy="134048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6"/>
                    <a:srcRect t="15684" b="9006"/>
                    <a:stretch>
                      <a:fillRect/>
                    </a:stretch>
                  </pic:blipFill>
                  <pic:spPr>
                    <a:xfrm>
                      <a:off x="0" y="0"/>
                      <a:ext cx="5930900" cy="1342342"/>
                    </a:xfrm>
                    <a:prstGeom prst="rect">
                      <a:avLst/>
                    </a:prstGeom>
                    <a:noFill/>
                    <a:ln>
                      <a:noFill/>
                    </a:ln>
                  </pic:spPr>
                </pic:pic>
              </a:graphicData>
            </a:graphic>
          </wp:inline>
        </w:drawing>
      </w:r>
    </w:p>
    <w:p w14:paraId="1EE63759">
      <w:pPr>
        <w:pStyle w:val="83"/>
        <w:spacing w:before="120" w:after="120"/>
      </w:pPr>
      <w:r>
        <w:rPr>
          <w:rFonts w:hint="eastAsia"/>
        </w:rPr>
        <w:t>组合1示意图</w:t>
      </w:r>
    </w:p>
    <w:p w14:paraId="17032DCF">
      <w:pPr>
        <w:pStyle w:val="79"/>
        <w:spacing w:before="120" w:after="120"/>
      </w:pPr>
      <w:r>
        <w:rPr>
          <w:rFonts w:hint="eastAsia"/>
        </w:rPr>
        <w:t>组合2</w:t>
      </w:r>
    </w:p>
    <w:p w14:paraId="6D3D72B2">
      <w:pPr>
        <w:pStyle w:val="56"/>
        <w:ind w:firstLine="420"/>
      </w:pPr>
      <w:r>
        <w:rPr>
          <w:rFonts w:hint="eastAsia"/>
        </w:rPr>
        <w:t>组合2又称“4+3+4组合”，两个结构</w:t>
      </w:r>
      <w:r>
        <w:t>1</w:t>
      </w:r>
      <w:r>
        <w:rPr>
          <w:rFonts w:hint="eastAsia"/>
        </w:rPr>
        <w:t>平行对称布置，结构3置于两个结构</w:t>
      </w:r>
      <w:r>
        <w:t>1</w:t>
      </w:r>
      <w:r>
        <w:rPr>
          <w:rFonts w:hint="eastAsia"/>
        </w:rPr>
        <w:t>中间，其下组成</w:t>
      </w:r>
      <w:r>
        <w:t>1</w:t>
      </w:r>
      <w:r>
        <w:rPr>
          <w:rFonts w:hint="eastAsia"/>
        </w:rPr>
        <w:t>1个连续的系列</w:t>
      </w:r>
      <w:r>
        <w:t>1</w:t>
      </w:r>
      <w:r>
        <w:rPr>
          <w:rFonts w:hint="eastAsia"/>
        </w:rPr>
        <w:t>集装箱完整箱位，其上组成</w:t>
      </w:r>
      <w:r>
        <w:t>1</w:t>
      </w:r>
      <w:r>
        <w:rPr>
          <w:rFonts w:hint="eastAsia"/>
        </w:rPr>
        <w:t>0个系列</w:t>
      </w:r>
      <w:r>
        <w:t>2</w:t>
      </w:r>
      <w:r>
        <w:rPr>
          <w:rFonts w:hint="eastAsia"/>
        </w:rPr>
        <w:t>集装箱完整箱位，组合1示意图见附图A6。</w:t>
      </w:r>
    </w:p>
    <w:p w14:paraId="6966052E">
      <w:pPr>
        <w:pStyle w:val="56"/>
        <w:ind w:firstLine="420"/>
      </w:pPr>
      <w:r>
        <w:rPr>
          <w:rFonts w:hint="eastAsia"/>
        </w:rPr>
        <w:t>根据船舶上箱位空缺情况或者系列2集装箱的数量多少，组合2可变形为</w:t>
      </w:r>
      <w:r>
        <w:rPr>
          <w:rFonts w:hint="eastAsia" w:ascii="Segoe UI Emoji" w:hAnsi="Segoe UI Emoji" w:cs="Segoe UI Emoji"/>
        </w:rPr>
        <w:t>由一个结构1和一个结构3组成的“4+3组合”使用。</w:t>
      </w:r>
    </w:p>
    <w:p w14:paraId="1A6D5B09">
      <w:pPr>
        <w:pStyle w:val="56"/>
        <w:ind w:left="0" w:leftChars="0" w:firstLine="0" w:firstLineChars="0"/>
        <w:jc w:val="center"/>
      </w:pPr>
      <w:r>
        <w:drawing>
          <wp:inline distT="0" distB="0" distL="114300" distR="114300">
            <wp:extent cx="5933440" cy="1285875"/>
            <wp:effectExtent l="0" t="0" r="0" b="952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27"/>
                    <a:srcRect l="-112" t="24597" r="112" b="8131"/>
                    <a:stretch>
                      <a:fillRect/>
                    </a:stretch>
                  </pic:blipFill>
                  <pic:spPr>
                    <a:xfrm>
                      <a:off x="0" y="0"/>
                      <a:ext cx="5935345" cy="1286660"/>
                    </a:xfrm>
                    <a:prstGeom prst="rect">
                      <a:avLst/>
                    </a:prstGeom>
                    <a:noFill/>
                    <a:ln>
                      <a:noFill/>
                    </a:ln>
                  </pic:spPr>
                </pic:pic>
              </a:graphicData>
            </a:graphic>
          </wp:inline>
        </w:drawing>
      </w:r>
    </w:p>
    <w:p w14:paraId="3864F9FE">
      <w:pPr>
        <w:pStyle w:val="83"/>
        <w:spacing w:before="120" w:after="120"/>
      </w:pPr>
      <w:r>
        <w:rPr>
          <w:rFonts w:hint="eastAsia"/>
        </w:rPr>
        <w:t>组合2示意图</w:t>
      </w:r>
    </w:p>
    <w:p w14:paraId="4732E4AF">
      <w:pPr>
        <w:pStyle w:val="79"/>
        <w:spacing w:before="120" w:after="120"/>
      </w:pPr>
      <w:r>
        <w:rPr>
          <w:rFonts w:hint="eastAsia"/>
        </w:rPr>
        <w:t>组合3</w:t>
      </w:r>
    </w:p>
    <w:p w14:paraId="7CE202C7">
      <w:pPr>
        <w:pStyle w:val="56"/>
        <w:ind w:firstLine="420"/>
      </w:pPr>
      <w:r>
        <w:rPr>
          <w:rFonts w:hint="eastAsia"/>
        </w:rPr>
        <w:t>组合4又称“4+1+4组合”，两个结构</w:t>
      </w:r>
      <w:r>
        <w:t>1</w:t>
      </w:r>
      <w:r>
        <w:rPr>
          <w:rFonts w:hint="eastAsia"/>
        </w:rPr>
        <w:t>平行对称布置，结构5置于两个结构</w:t>
      </w:r>
      <w:r>
        <w:t>1</w:t>
      </w:r>
      <w:r>
        <w:rPr>
          <w:rFonts w:hint="eastAsia"/>
        </w:rPr>
        <w:t>中间，其下组成9个连续的系列</w:t>
      </w:r>
      <w:r>
        <w:t>1</w:t>
      </w:r>
      <w:r>
        <w:rPr>
          <w:rFonts w:hint="eastAsia"/>
        </w:rPr>
        <w:t>集装箱完整箱位，其上组成8个系列</w:t>
      </w:r>
      <w:r>
        <w:t>2</w:t>
      </w:r>
      <w:r>
        <w:rPr>
          <w:rFonts w:hint="eastAsia"/>
        </w:rPr>
        <w:t>集装箱完整箱位。组合3示意图见附图A7。</w:t>
      </w:r>
    </w:p>
    <w:p w14:paraId="7CCCFACD">
      <w:pPr>
        <w:pStyle w:val="56"/>
        <w:ind w:firstLine="420"/>
        <w:rPr>
          <w:rFonts w:ascii="Segoe UI Emoji" w:hAnsi="Segoe UI Emoji" w:cs="Segoe UI Emoji"/>
        </w:rPr>
      </w:pPr>
      <w:r>
        <w:rPr>
          <w:rFonts w:hint="eastAsia"/>
        </w:rPr>
        <w:t>根据船舶上箱位空缺情况或者系列2集装箱的数量多少，组合1可变形为</w:t>
      </w:r>
      <w:r>
        <w:rPr>
          <w:rFonts w:hint="eastAsia" w:ascii="Segoe UI Emoji" w:hAnsi="Segoe UI Emoji" w:cs="Segoe UI Emoji"/>
        </w:rPr>
        <w:t>由一个结构1和一个结构1组成的“4+1组合”使用。</w:t>
      </w:r>
    </w:p>
    <w:p w14:paraId="269379B2">
      <w:pPr>
        <w:pStyle w:val="56"/>
        <w:ind w:left="0" w:leftChars="0" w:firstLine="0" w:firstLineChars="0"/>
        <w:jc w:val="center"/>
      </w:pPr>
      <w:r>
        <w:drawing>
          <wp:inline distT="0" distB="0" distL="114300" distR="114300">
            <wp:extent cx="4808855" cy="1170305"/>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28"/>
                    <a:srcRect t="21908" b="12662"/>
                    <a:stretch>
                      <a:fillRect/>
                    </a:stretch>
                  </pic:blipFill>
                  <pic:spPr>
                    <a:xfrm>
                      <a:off x="0" y="0"/>
                      <a:ext cx="4827756" cy="1175171"/>
                    </a:xfrm>
                    <a:prstGeom prst="rect">
                      <a:avLst/>
                    </a:prstGeom>
                    <a:noFill/>
                    <a:ln>
                      <a:noFill/>
                    </a:ln>
                  </pic:spPr>
                </pic:pic>
              </a:graphicData>
            </a:graphic>
          </wp:inline>
        </w:drawing>
      </w:r>
    </w:p>
    <w:p w14:paraId="68D24743">
      <w:pPr>
        <w:pStyle w:val="83"/>
        <w:spacing w:before="120" w:after="120"/>
        <w:sectPr>
          <w:pgSz w:w="11906" w:h="16838"/>
          <w:pgMar w:top="1928" w:right="1134" w:bottom="1134" w:left="1134" w:header="1418" w:footer="1134" w:gutter="284"/>
          <w:cols w:space="425" w:num="1"/>
          <w:formProt w:val="0"/>
          <w:docGrid w:linePitch="312" w:charSpace="0"/>
        </w:sectPr>
      </w:pPr>
      <w:r>
        <w:rPr>
          <w:rFonts w:hint="eastAsia"/>
        </w:rPr>
        <w:t>组合</w:t>
      </w:r>
      <w:r>
        <w:t>3</w:t>
      </w:r>
      <w:r>
        <w:rPr>
          <w:rFonts w:hint="eastAsia"/>
        </w:rPr>
        <w:t>示意图</w:t>
      </w:r>
    </w:p>
    <w:p w14:paraId="611E9192">
      <w:pPr>
        <w:pStyle w:val="198"/>
        <w:rPr>
          <w:rFonts w:hint="eastAsia"/>
        </w:rPr>
      </w:pPr>
    </w:p>
    <w:p w14:paraId="180A6C36">
      <w:pPr>
        <w:pStyle w:val="199"/>
      </w:pPr>
    </w:p>
    <w:p w14:paraId="18B7C5AC">
      <w:pPr>
        <w:pStyle w:val="76"/>
        <w:spacing w:after="120"/>
      </w:pPr>
      <w:r>
        <w:br w:type="textWrapping"/>
      </w:r>
      <w:bookmarkStart w:id="92" w:name="_Toc233641743"/>
      <w:r>
        <w:rPr>
          <w:rFonts w:hint="eastAsia"/>
        </w:rPr>
        <w:t>（资料性）</w:t>
      </w:r>
      <w:r>
        <w:br w:type="textWrapping"/>
      </w:r>
      <w:r>
        <w:rPr>
          <w:rFonts w:hint="eastAsia"/>
        </w:rPr>
        <w:t>转换平台式集装箱的试验方法</w:t>
      </w:r>
      <w:bookmarkEnd w:id="92"/>
    </w:p>
    <w:p w14:paraId="6920361A">
      <w:pPr>
        <w:pStyle w:val="78"/>
        <w:spacing w:before="120" w:after="120"/>
      </w:pPr>
      <w:r>
        <w:rPr>
          <w:rFonts w:hint="eastAsia" w:hAnsi="黑体"/>
        </w:rPr>
        <w:t>总则</w:t>
      </w:r>
    </w:p>
    <w:p w14:paraId="4057F88A">
      <w:pPr>
        <w:pStyle w:val="212"/>
      </w:pPr>
      <w:r>
        <w:rPr>
          <w:rFonts w:hint="eastAsia"/>
        </w:rPr>
        <w:t>转换平台式集装箱应满足GB/T5338.5和JT/T 1172.5中相关试验的要求。</w:t>
      </w:r>
    </w:p>
    <w:p w14:paraId="09E69077">
      <w:pPr>
        <w:pStyle w:val="212"/>
      </w:pPr>
      <w:r>
        <w:rPr>
          <w:rFonts w:hint="eastAsia"/>
        </w:rPr>
        <w:t>本附录所列各项试验可用于验证转换平台式集装箱的结构性能，使用本附录的各方有权采用其他更有效的试验方法代替本附录的方法。</w:t>
      </w:r>
    </w:p>
    <w:p w14:paraId="6D40DFE6">
      <w:pPr>
        <w:pStyle w:val="212"/>
      </w:pPr>
      <w:r>
        <w:rPr>
          <w:rFonts w:hint="eastAsia"/>
        </w:rPr>
        <w:t>试验用的量具与仪器应经计量部门检定合格,并具有有效的检定证书或等效证明。</w:t>
      </w:r>
    </w:p>
    <w:p w14:paraId="6CDA5D02">
      <w:pPr>
        <w:pStyle w:val="212"/>
      </w:pPr>
      <w:r>
        <w:rPr>
          <w:rFonts w:hint="eastAsia"/>
        </w:rPr>
        <w:t>供试验用重物，应核实其重量，打上标记，并作好记录。</w:t>
      </w:r>
    </w:p>
    <w:p w14:paraId="102F09A5">
      <w:pPr>
        <w:pStyle w:val="212"/>
      </w:pPr>
      <w:r>
        <w:rPr>
          <w:rFonts w:hint="eastAsia"/>
        </w:rPr>
        <w:t>试验用的加载框架、油缸等应确认处于完好状态。</w:t>
      </w:r>
    </w:p>
    <w:p w14:paraId="7791B26A">
      <w:pPr>
        <w:pStyle w:val="212"/>
      </w:pPr>
      <w:r>
        <w:rPr>
          <w:rFonts w:hint="eastAsia"/>
        </w:rPr>
        <w:t>转换平台式集装箱应能承受本附录所列各项试验，并应将试验数据填写到规定格式的试验报告中。各项试验应按设计程序进行，但如果有更为合适的综合性试验设施或更佳的试验效果时，可按不同的顺序进行试验。</w:t>
      </w:r>
    </w:p>
    <w:p w14:paraId="2B76848B">
      <w:pPr>
        <w:pStyle w:val="212"/>
      </w:pPr>
      <w:r>
        <w:rPr>
          <w:rFonts w:hint="eastAsia"/>
        </w:rPr>
        <w:t>除另有规定外，本规范所规定的试验载荷为最低要求，并已包括动载效应，在试验中不应出现额外的载荷。</w:t>
      </w:r>
    </w:p>
    <w:p w14:paraId="7CC7A208">
      <w:pPr>
        <w:pStyle w:val="212"/>
      </w:pPr>
      <w:r>
        <w:rPr>
          <w:rFonts w:hint="eastAsia"/>
        </w:rPr>
        <w:t>各项试验的箱上装载，除专门注明者外，都应作均匀分布。</w:t>
      </w:r>
    </w:p>
    <w:p w14:paraId="11A00F6F">
      <w:pPr>
        <w:pStyle w:val="212"/>
      </w:pPr>
      <w:r>
        <w:rPr>
          <w:rFonts w:hint="eastAsia"/>
        </w:rPr>
        <w:t>在各项试验完成后，转换平台式集装箱的任何部位均不应出现影响正常使用的永久变形和异状，其尺寸仍能满足吊装、运输、装卸和栓固作业的要求。</w:t>
      </w:r>
    </w:p>
    <w:p w14:paraId="4EB8CE5B">
      <w:pPr>
        <w:pStyle w:val="212"/>
      </w:pPr>
      <w:r>
        <w:rPr>
          <w:rFonts w:hint="eastAsia"/>
        </w:rPr>
        <w:t>试验后参考的尺寸应满足本文件正文的尺寸要求。</w:t>
      </w:r>
    </w:p>
    <w:p w14:paraId="4DA9C772">
      <w:pPr>
        <w:pStyle w:val="78"/>
        <w:spacing w:before="120" w:after="120"/>
      </w:pPr>
      <w:r>
        <w:rPr>
          <w:rFonts w:hint="eastAsia"/>
        </w:rPr>
        <w:t>试验1——堆码试验（货物集装箱堆码工况）</w:t>
      </w:r>
    </w:p>
    <w:p w14:paraId="383ADF28">
      <w:pPr>
        <w:pStyle w:val="79"/>
        <w:spacing w:before="120" w:after="120"/>
      </w:pPr>
      <w:r>
        <w:rPr>
          <w:rFonts w:hint="eastAsia"/>
        </w:rPr>
        <w:t>概述</w:t>
      </w:r>
    </w:p>
    <w:p w14:paraId="7A5D5094">
      <w:pPr>
        <w:pStyle w:val="56"/>
        <w:ind w:firstLine="420"/>
        <w:rPr>
          <w:rFonts w:hint="eastAsia" w:ascii="宋体" w:hAnsi="宋体" w:cs="宋体"/>
        </w:rPr>
      </w:pPr>
      <w:r>
        <w:rPr>
          <w:rFonts w:hint="eastAsia" w:ascii="宋体" w:hAnsi="宋体" w:cs="宋体"/>
        </w:rPr>
        <w:t>为了验证海上船舶运输中转换平台式集装箱承受其上部集装箱在1.8g垂直惯性力作用下，且存在偏置状态时的堆叠能力。</w:t>
      </w:r>
    </w:p>
    <w:p w14:paraId="3CE83456">
      <w:pPr>
        <w:pStyle w:val="79"/>
        <w:spacing w:before="120" w:after="120"/>
      </w:pPr>
      <w:r>
        <w:rPr>
          <w:rFonts w:hint="eastAsia"/>
        </w:rPr>
        <w:t>试验方法</w:t>
      </w:r>
    </w:p>
    <w:p w14:paraId="0CB31994">
      <w:pPr>
        <w:pStyle w:val="56"/>
        <w:ind w:firstLine="420"/>
      </w:pPr>
      <w:r>
        <w:rPr>
          <w:rFonts w:hint="eastAsia"/>
        </w:rPr>
        <w:t>将转换平台式集装箱置于坚固的足够大的水平平台上，由转换平台式集装箱底部所有箱位的联接角件支撑，转换平台式集装箱上放置0.8</w:t>
      </w:r>
      <w:r>
        <w:rPr>
          <w:rFonts w:hint="eastAsia"/>
          <w:i/>
          <w:iCs/>
        </w:rPr>
        <w:t>T</w:t>
      </w:r>
      <w:r>
        <w:rPr>
          <w:rFonts w:hint="eastAsia"/>
          <w:vertAlign w:val="subscript"/>
        </w:rPr>
        <w:t>z</w:t>
      </w:r>
      <w:r>
        <w:rPr>
          <w:rFonts w:hint="eastAsia"/>
        </w:rPr>
        <w:t>的均布载荷，外载荷施加于上部联接角件上，使两个相邻箱位的角件同时承受垂向力，也可以按两端分别进行试验。上部所有角件均应验证。每个角件施加942KN的载荷，加载方式见表B1。</w:t>
      </w:r>
    </w:p>
    <w:p w14:paraId="07CB929A">
      <w:pPr>
        <w:pStyle w:val="56"/>
        <w:ind w:firstLine="420"/>
      </w:pPr>
      <w:r>
        <w:rPr>
          <w:rFonts w:hint="eastAsia"/>
        </w:rPr>
        <w:t>外载荷通过垫在中间的另一下角件或模拟件（与角件实物具有同样的尺寸、开孔、倒角棱边圆角及公差要求）施加于被试验的箱体上。每一个角件或模拟件应在相同的方向偏心施加外载荷，至少应进行横向25.4mm，纵向38mm两个偏心施加外载荷的试验。</w:t>
      </w:r>
    </w:p>
    <w:p w14:paraId="2FA02CA7">
      <w:pPr>
        <w:pStyle w:val="78"/>
        <w:spacing w:before="120" w:after="120"/>
      </w:pPr>
      <w:r>
        <w:rPr>
          <w:rFonts w:hint="eastAsia"/>
        </w:rPr>
        <w:t>试验2——</w:t>
      </w:r>
      <w:bookmarkStart w:id="93" w:name="_Hlk220058462"/>
      <w:r>
        <w:t>联</w:t>
      </w:r>
      <w:r>
        <w:rPr>
          <w:rFonts w:hint="eastAsia"/>
        </w:rPr>
        <w:t>挂单元的堆码</w:t>
      </w:r>
      <w:bookmarkEnd w:id="93"/>
      <w:r>
        <w:rPr>
          <w:rFonts w:hint="eastAsia"/>
        </w:rPr>
        <w:t>试验</w:t>
      </w:r>
    </w:p>
    <w:p w14:paraId="52D993E3">
      <w:pPr>
        <w:pStyle w:val="79"/>
        <w:spacing w:before="120" w:after="120"/>
      </w:pPr>
      <w:r>
        <w:rPr>
          <w:rFonts w:hint="eastAsia"/>
        </w:rPr>
        <w:t>概述</w:t>
      </w:r>
    </w:p>
    <w:p w14:paraId="30B2BB5A">
      <w:pPr>
        <w:pStyle w:val="56"/>
        <w:ind w:firstLine="420"/>
        <w:rPr>
          <w:rFonts w:hint="eastAsia" w:ascii="宋体" w:hAnsi="宋体" w:cs="宋体"/>
        </w:rPr>
      </w:pPr>
      <w:r>
        <w:rPr>
          <w:rFonts w:hint="eastAsia" w:ascii="宋体" w:hAnsi="宋体" w:cs="宋体"/>
        </w:rPr>
        <w:t>为了验证海上船舶运输过程中，转换平台式集装箱联挂成组堆码时受其上部集装箱在偏置状态下的堆叠能力。</w:t>
      </w:r>
    </w:p>
    <w:p w14:paraId="2E53FF3B">
      <w:pPr>
        <w:pStyle w:val="79"/>
        <w:spacing w:before="120" w:after="120"/>
      </w:pPr>
      <w:r>
        <w:rPr>
          <w:rFonts w:hint="eastAsia"/>
        </w:rPr>
        <w:t>试验方法</w:t>
      </w:r>
    </w:p>
    <w:p w14:paraId="277A59BD">
      <w:pPr>
        <w:pStyle w:val="56"/>
        <w:ind w:firstLine="420"/>
      </w:pPr>
      <w:r>
        <w:rPr>
          <w:rFonts w:hint="eastAsia"/>
        </w:rPr>
        <w:t>转换平台式集装箱通过连锁栓，或箱体自带的连接装置组合,其总高度不得超过2591mm。将转换平台式集装箱置于坚固的水平平台上，由转换平台式集装箱底部起吊角件支撑，转换平台式集装箱上放置0.8</w:t>
      </w:r>
      <w:r>
        <w:rPr>
          <w:rFonts w:hint="eastAsia"/>
          <w:i/>
          <w:iCs/>
        </w:rPr>
        <w:t>T</w:t>
      </w:r>
      <w:r>
        <w:rPr>
          <w:rFonts w:hint="eastAsia"/>
          <w:vertAlign w:val="subscript"/>
        </w:rPr>
        <w:t>z</w:t>
      </w:r>
      <w:r>
        <w:rPr>
          <w:rFonts w:hint="eastAsia"/>
        </w:rPr>
        <w:t>的均布载荷，外载荷施加于上部起吊角件上，每个角件施加942KN的载荷，加载方式见表B1。</w:t>
      </w:r>
    </w:p>
    <w:p w14:paraId="47867924">
      <w:pPr>
        <w:pStyle w:val="56"/>
        <w:ind w:firstLine="420"/>
      </w:pPr>
      <w:r>
        <w:rPr>
          <w:rFonts w:hint="eastAsia"/>
        </w:rPr>
        <w:t>外载荷通过垫在中间的另一下角件或模拟件（与角件实物具有同样的尺寸、开孔、倒角棱边圆角及公差要求）施加于被试验的箱体上。每一个角件或模拟件应在相同的方向偏心施加外载荷，至少应进行横向25.4mm，纵向38mm两个偏心施加外载荷的试验。</w:t>
      </w:r>
    </w:p>
    <w:p w14:paraId="7C8D75D9">
      <w:pPr>
        <w:pStyle w:val="78"/>
        <w:spacing w:before="120" w:after="120"/>
      </w:pPr>
      <w:r>
        <w:rPr>
          <w:rFonts w:hint="eastAsia"/>
        </w:rPr>
        <w:t>试验3——顶部四个起吊角件起吊试验</w:t>
      </w:r>
    </w:p>
    <w:p w14:paraId="3A3C26A7">
      <w:pPr>
        <w:pStyle w:val="79"/>
        <w:spacing w:before="120" w:after="120"/>
      </w:pPr>
      <w:r>
        <w:rPr>
          <w:rFonts w:hint="eastAsia"/>
        </w:rPr>
        <w:t>概述</w:t>
      </w:r>
    </w:p>
    <w:p w14:paraId="053DA3AA">
      <w:pPr>
        <w:pStyle w:val="56"/>
        <w:ind w:firstLine="420"/>
        <w:rPr>
          <w:rFonts w:hint="eastAsia" w:ascii="宋体" w:hAnsi="宋体" w:cs="宋体"/>
        </w:rPr>
      </w:pPr>
      <w:r>
        <w:rPr>
          <w:rFonts w:hint="eastAsia" w:ascii="宋体" w:hAnsi="宋体" w:cs="宋体"/>
        </w:rPr>
        <w:t>验证转换平台式集装箱在空箱状态下承受由上部起吊角件垂直吊起时所产生载荷的能力。</w:t>
      </w:r>
    </w:p>
    <w:p w14:paraId="22EB9848">
      <w:pPr>
        <w:pStyle w:val="79"/>
        <w:spacing w:before="120" w:after="120"/>
      </w:pPr>
      <w:r>
        <w:rPr>
          <w:rFonts w:hint="eastAsia"/>
        </w:rPr>
        <w:t>试验方法</w:t>
      </w:r>
    </w:p>
    <w:p w14:paraId="2DB81009">
      <w:pPr>
        <w:pStyle w:val="56"/>
        <w:ind w:firstLine="420"/>
      </w:pPr>
      <w:r>
        <w:rPr>
          <w:rFonts w:hint="eastAsia"/>
        </w:rPr>
        <w:t>转换平台式集装箱上面放置相当于1</w:t>
      </w:r>
      <w:r>
        <w:rPr>
          <w:rFonts w:hint="eastAsia"/>
          <w:i/>
          <w:iCs/>
        </w:rPr>
        <w:t>T</w:t>
      </w:r>
      <w:r>
        <w:rPr>
          <w:rFonts w:hint="eastAsia"/>
          <w:vertAlign w:val="subscript"/>
        </w:rPr>
        <w:t>z</w:t>
      </w:r>
      <w:r>
        <w:rPr>
          <w:rFonts w:hint="eastAsia"/>
        </w:rPr>
        <w:t>的均布载荷，通过上部起吊角件按表B1中所示角度平稳起吊。</w:t>
      </w:r>
    </w:p>
    <w:p w14:paraId="67DB7F82">
      <w:pPr>
        <w:pStyle w:val="56"/>
        <w:ind w:firstLine="420"/>
      </w:pPr>
      <w:r>
        <w:rPr>
          <w:rFonts w:hint="eastAsia"/>
        </w:rPr>
        <w:t>起吊后维持5分钟，再平稳放下。</w:t>
      </w:r>
    </w:p>
    <w:p w14:paraId="65CD0FE7">
      <w:pPr>
        <w:pStyle w:val="78"/>
        <w:spacing w:before="120" w:after="120"/>
      </w:pPr>
      <w:r>
        <w:rPr>
          <w:rFonts w:hint="eastAsia"/>
        </w:rPr>
        <w:t>试验4——横向刚性试验</w:t>
      </w:r>
    </w:p>
    <w:p w14:paraId="0F5960E5">
      <w:pPr>
        <w:pStyle w:val="79"/>
        <w:spacing w:before="120" w:after="120"/>
      </w:pPr>
      <w:r>
        <w:rPr>
          <w:rFonts w:hint="eastAsia"/>
        </w:rPr>
        <w:t>概述</w:t>
      </w:r>
    </w:p>
    <w:p w14:paraId="01FED9FC">
      <w:pPr>
        <w:pStyle w:val="56"/>
        <w:ind w:firstLine="420"/>
        <w:rPr>
          <w:rFonts w:hint="eastAsia" w:ascii="宋体" w:hAnsi="宋体" w:cs="宋体"/>
        </w:rPr>
      </w:pPr>
      <w:r>
        <w:rPr>
          <w:rFonts w:hint="eastAsia" w:ascii="宋体" w:hAnsi="宋体" w:cs="宋体"/>
        </w:rPr>
        <w:t>验证转换平台式集装箱承受因船舶航行所产生的横向挤压力的能力。</w:t>
      </w:r>
    </w:p>
    <w:p w14:paraId="78578217">
      <w:pPr>
        <w:pStyle w:val="79"/>
        <w:spacing w:before="120" w:after="120"/>
      </w:pPr>
      <w:r>
        <w:rPr>
          <w:rFonts w:hint="eastAsia"/>
        </w:rPr>
        <w:t>试验方法</w:t>
      </w:r>
    </w:p>
    <w:p w14:paraId="51D8CBA6">
      <w:pPr>
        <w:pStyle w:val="56"/>
        <w:ind w:firstLine="420"/>
        <w:rPr>
          <w:rFonts w:hint="eastAsia" w:ascii="宋体" w:hAnsi="宋体" w:cs="宋体"/>
        </w:rPr>
      </w:pPr>
      <w:r>
        <w:rPr>
          <w:rFonts w:hint="eastAsia" w:ascii="宋体" w:hAnsi="宋体" w:cs="宋体"/>
        </w:rPr>
        <w:t>转换平</w:t>
      </w:r>
      <w:r>
        <w:rPr>
          <w:rFonts w:hint="eastAsia"/>
        </w:rPr>
        <w:t>台式集装箱置于在同一水平面的刚性支座上，刚性支座的布置与转换平台式集装箱底部连接角件位置相对应，通过底部连接角件予以竖向固定，横向固定仅设于施力点对角的底角件上。采用一组具有相同结构的专用装置连接，将两个150kN的横向作用力分别施加在倒扣箱或专用装置的相邻角件上，作用力先朝向角件，然后反向施力</w:t>
      </w:r>
      <w:r>
        <w:rPr>
          <w:rFonts w:hint="eastAsia" w:ascii="宋体" w:hAnsi="宋体" w:cs="宋体"/>
        </w:rPr>
        <w:t>。加载方式见表B1。两端均需要试验。</w:t>
      </w:r>
    </w:p>
    <w:p w14:paraId="29F9116C">
      <w:pPr>
        <w:pStyle w:val="56"/>
        <w:ind w:firstLine="420"/>
      </w:pPr>
      <w:r>
        <w:rPr>
          <w:rFonts w:hint="eastAsia"/>
        </w:rPr>
        <w:t>应测量和记录转换平台式集装箱试验过程中的弹性变形和试验后的残余变形。</w:t>
      </w:r>
    </w:p>
    <w:p w14:paraId="1B04D35C">
      <w:pPr>
        <w:pStyle w:val="78"/>
        <w:spacing w:before="120" w:after="120"/>
      </w:pPr>
      <w:r>
        <w:rPr>
          <w:rFonts w:hint="eastAsia"/>
        </w:rPr>
        <w:t>试验5——纵向刚性试验</w:t>
      </w:r>
    </w:p>
    <w:p w14:paraId="2A21B2E2">
      <w:pPr>
        <w:pStyle w:val="79"/>
        <w:spacing w:before="120" w:after="120"/>
      </w:pPr>
      <w:r>
        <w:rPr>
          <w:rFonts w:hint="eastAsia"/>
        </w:rPr>
        <w:t>概述</w:t>
      </w:r>
    </w:p>
    <w:p w14:paraId="717D6179">
      <w:pPr>
        <w:pStyle w:val="56"/>
        <w:ind w:firstLine="420"/>
        <w:rPr>
          <w:rFonts w:hint="eastAsia" w:ascii="宋体" w:hAnsi="宋体" w:cs="宋体"/>
        </w:rPr>
      </w:pPr>
      <w:r>
        <w:rPr>
          <w:rFonts w:hint="eastAsia" w:ascii="宋体" w:hAnsi="宋体" w:cs="宋体"/>
        </w:rPr>
        <w:t>验证转换平台式集装箱承受因船舶航行所产生的纵向挤压力的能力。</w:t>
      </w:r>
    </w:p>
    <w:p w14:paraId="5AFBBC25">
      <w:pPr>
        <w:pStyle w:val="79"/>
        <w:spacing w:before="120" w:after="120"/>
      </w:pPr>
      <w:r>
        <w:rPr>
          <w:rFonts w:hint="eastAsia"/>
        </w:rPr>
        <w:t>试验方法</w:t>
      </w:r>
    </w:p>
    <w:p w14:paraId="6E426FA2">
      <w:pPr>
        <w:pStyle w:val="56"/>
        <w:ind w:firstLine="420"/>
      </w:pPr>
      <w:r>
        <w:rPr>
          <w:rFonts w:hint="eastAsia"/>
        </w:rPr>
        <w:t>转换平台式集装箱置于在同一水平面的刚性支座上，刚性支座的布置与转换平台式集装箱底部连接角件位置相对应，通过底部连接角件予以竖向固定，纵向固定仅设于施力点对角的底角件上。采用一组具有相同结构的专用装置连接，将两个将75kN的纵向作用力施加在倒扣箱货专用装置的相邻角件上，作用力先朝向角件，然后反向施力。加载方式见表B1。两端均需要试验。</w:t>
      </w:r>
    </w:p>
    <w:p w14:paraId="206F8473">
      <w:pPr>
        <w:pStyle w:val="56"/>
        <w:ind w:firstLine="420"/>
      </w:pPr>
      <w:bookmarkStart w:id="94" w:name="OLE_LINK51"/>
      <w:r>
        <w:rPr>
          <w:rFonts w:hint="eastAsia"/>
        </w:rPr>
        <w:t>应测量和记录转换平台式集装箱试验过程中的弹性变形和试验后的残余变形。</w:t>
      </w:r>
      <w:bookmarkEnd w:id="94"/>
    </w:p>
    <w:p w14:paraId="202BF078">
      <w:pPr>
        <w:pStyle w:val="78"/>
        <w:spacing w:before="120" w:after="120"/>
      </w:pPr>
      <w:r>
        <w:rPr>
          <w:rFonts w:hint="eastAsia"/>
        </w:rPr>
        <w:t>试验6——联挂单元的起吊试验</w:t>
      </w:r>
    </w:p>
    <w:p w14:paraId="50B4E9EF">
      <w:pPr>
        <w:pStyle w:val="79"/>
        <w:spacing w:before="120" w:after="120"/>
      </w:pPr>
      <w:r>
        <w:rPr>
          <w:rFonts w:hint="eastAsia"/>
        </w:rPr>
        <w:t>B.8.1  概述</w:t>
      </w:r>
    </w:p>
    <w:p w14:paraId="477F5475">
      <w:pPr>
        <w:pStyle w:val="56"/>
        <w:ind w:firstLine="420"/>
      </w:pPr>
      <w:r>
        <w:rPr>
          <w:rFonts w:hint="eastAsia"/>
        </w:rPr>
        <w:t>验证</w:t>
      </w:r>
      <w:bookmarkStart w:id="95" w:name="OLE_LINK41"/>
      <w:r>
        <w:rPr>
          <w:rFonts w:hint="eastAsia"/>
        </w:rPr>
        <w:t>转换平台式集装箱连挂成组时承受由上部起吊角件垂直吊起时所产生载荷的能力</w:t>
      </w:r>
      <w:bookmarkEnd w:id="95"/>
      <w:r>
        <w:rPr>
          <w:rFonts w:hint="eastAsia"/>
        </w:rPr>
        <w:t>。</w:t>
      </w:r>
    </w:p>
    <w:p w14:paraId="7AD7F626">
      <w:pPr>
        <w:pStyle w:val="79"/>
        <w:spacing w:before="120" w:after="120"/>
      </w:pPr>
      <w:r>
        <w:rPr>
          <w:rFonts w:hint="eastAsia"/>
        </w:rPr>
        <w:t>试验方法</w:t>
      </w:r>
    </w:p>
    <w:p w14:paraId="4A0B145A">
      <w:pPr>
        <w:pStyle w:val="56"/>
        <w:ind w:firstLine="420"/>
      </w:pPr>
      <w:r>
        <w:rPr>
          <w:rFonts w:hint="eastAsia" w:ascii="宋体" w:hAnsi="宋体" w:cs="宋体"/>
        </w:rPr>
        <w:t>转换平台式集装箱上</w:t>
      </w:r>
      <w:r>
        <w:rPr>
          <w:rFonts w:hint="eastAsia"/>
        </w:rPr>
        <w:t>面放置相当于1</w:t>
      </w:r>
      <w:r>
        <w:rPr>
          <w:rFonts w:hint="eastAsia"/>
          <w:i/>
          <w:iCs/>
        </w:rPr>
        <w:t>T</w:t>
      </w:r>
      <w:r>
        <w:rPr>
          <w:rFonts w:hint="eastAsia"/>
          <w:vertAlign w:val="subscript"/>
        </w:rPr>
        <w:t>z</w:t>
      </w:r>
      <w:r>
        <w:rPr>
          <w:rFonts w:hint="eastAsia"/>
        </w:rPr>
        <w:t>的均布载荷，然后转换平台式集装箱通过连锁栓，或箱体自带的连接装置与另一只转换平台式集装箱，或用固定装置模拟与第二只转换平台式集装箱的挂接，其最大总质量相当于2(</w:t>
      </w:r>
      <w:r>
        <w:rPr>
          <w:rFonts w:hint="eastAsia"/>
          <w:i/>
          <w:iCs/>
        </w:rPr>
        <w:t>n</w:t>
      </w:r>
      <w:r>
        <w:rPr>
          <w:rFonts w:hint="eastAsia"/>
        </w:rPr>
        <w:t>-1)</w:t>
      </w:r>
      <w:r>
        <w:rPr>
          <w:rFonts w:hint="eastAsia"/>
          <w:i/>
          <w:iCs/>
        </w:rPr>
        <w:t>T</w:t>
      </w:r>
      <w:r>
        <w:rPr>
          <w:rFonts w:hint="eastAsia"/>
          <w:i/>
          <w:iCs/>
          <w:vertAlign w:val="subscript"/>
        </w:rPr>
        <w:t>z</w:t>
      </w:r>
      <w:r>
        <w:rPr>
          <w:rFonts w:hint="eastAsia"/>
        </w:rPr>
        <w:t>。试验载荷在四个连挂装置中均匀分配。当n为最大值时,其总高度不得超过2591mm。加载方式附见表B1。</w:t>
      </w:r>
    </w:p>
    <w:p w14:paraId="53004263">
      <w:pPr>
        <w:pStyle w:val="56"/>
        <w:ind w:firstLine="420"/>
      </w:pPr>
      <w:r>
        <w:rPr>
          <w:rFonts w:hint="eastAsia"/>
        </w:rPr>
        <w:t>通过上部起吊角件按附表B1中所示角度平稳起吊，起吊后维持5分钟，再平稳放下。</w:t>
      </w:r>
    </w:p>
    <w:p w14:paraId="1E71130F">
      <w:pPr>
        <w:pStyle w:val="77"/>
        <w:spacing w:before="120" w:after="120"/>
      </w:pPr>
      <w:r>
        <w:rPr>
          <w:rFonts w:hint="eastAsia"/>
        </w:rPr>
        <w:t>转换平台式集装箱强度试验示意图</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183"/>
        <w:gridCol w:w="4516"/>
        <w:gridCol w:w="2939"/>
      </w:tblGrid>
      <w:tr w14:paraId="017F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Pr>
          <w:p w14:paraId="76BD2E12">
            <w:pPr>
              <w:jc w:val="center"/>
              <w:rPr>
                <w:rFonts w:hint="eastAsia" w:ascii="宋体" w:hAnsi="宋体"/>
                <w:sz w:val="18"/>
                <w:szCs w:val="18"/>
              </w:rPr>
            </w:pPr>
            <w:r>
              <w:rPr>
                <w:rFonts w:hint="eastAsia" w:ascii="宋体" w:hAnsi="宋体"/>
                <w:sz w:val="18"/>
                <w:szCs w:val="18"/>
              </w:rPr>
              <w:t>序号</w:t>
            </w:r>
          </w:p>
        </w:tc>
        <w:tc>
          <w:tcPr>
            <w:tcW w:w="1183" w:type="dxa"/>
          </w:tcPr>
          <w:p w14:paraId="529D6B23">
            <w:pPr>
              <w:jc w:val="center"/>
              <w:rPr>
                <w:rFonts w:hint="eastAsia" w:ascii="宋体" w:hAnsi="宋体"/>
                <w:sz w:val="18"/>
                <w:szCs w:val="18"/>
              </w:rPr>
            </w:pPr>
            <w:r>
              <w:rPr>
                <w:rFonts w:hint="eastAsia" w:ascii="宋体" w:hAnsi="宋体"/>
                <w:sz w:val="18"/>
                <w:szCs w:val="18"/>
              </w:rPr>
              <w:t>试验名称</w:t>
            </w:r>
          </w:p>
        </w:tc>
        <w:tc>
          <w:tcPr>
            <w:tcW w:w="4516" w:type="dxa"/>
          </w:tcPr>
          <w:p w14:paraId="7C240EA1">
            <w:pPr>
              <w:jc w:val="center"/>
              <w:rPr>
                <w:rFonts w:hint="eastAsia" w:ascii="宋体" w:hAnsi="宋体"/>
                <w:sz w:val="18"/>
                <w:szCs w:val="18"/>
              </w:rPr>
            </w:pPr>
            <w:r>
              <w:rPr>
                <w:rFonts w:hint="eastAsia" w:ascii="宋体" w:hAnsi="宋体"/>
                <w:sz w:val="18"/>
                <w:szCs w:val="18"/>
              </w:rPr>
              <w:t>宽度方向</w:t>
            </w:r>
          </w:p>
        </w:tc>
        <w:tc>
          <w:tcPr>
            <w:tcW w:w="2939" w:type="dxa"/>
          </w:tcPr>
          <w:p w14:paraId="0E522C6E">
            <w:pPr>
              <w:jc w:val="center"/>
              <w:rPr>
                <w:rFonts w:hint="eastAsia" w:ascii="宋体" w:hAnsi="宋体"/>
                <w:sz w:val="18"/>
                <w:szCs w:val="18"/>
              </w:rPr>
            </w:pPr>
            <w:r>
              <w:rPr>
                <w:rFonts w:hint="eastAsia" w:ascii="宋体" w:hAnsi="宋体"/>
                <w:sz w:val="18"/>
                <w:szCs w:val="18"/>
              </w:rPr>
              <w:t>长度方向</w:t>
            </w:r>
          </w:p>
        </w:tc>
      </w:tr>
      <w:tr w14:paraId="1F45D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716" w:type="dxa"/>
            <w:vMerge w:val="restart"/>
            <w:vAlign w:val="center"/>
          </w:tcPr>
          <w:p w14:paraId="06283F92">
            <w:pPr>
              <w:rPr>
                <w:rFonts w:hint="eastAsia" w:ascii="宋体" w:hAnsi="宋体"/>
                <w:sz w:val="18"/>
                <w:szCs w:val="18"/>
              </w:rPr>
            </w:pPr>
            <w:r>
              <w:rPr>
                <w:rFonts w:hint="eastAsia" w:ascii="宋体" w:hAnsi="宋体"/>
                <w:sz w:val="18"/>
                <w:szCs w:val="18"/>
              </w:rPr>
              <w:t>1</w:t>
            </w:r>
          </w:p>
        </w:tc>
        <w:tc>
          <w:tcPr>
            <w:tcW w:w="1183" w:type="dxa"/>
            <w:vMerge w:val="restart"/>
            <w:vAlign w:val="center"/>
          </w:tcPr>
          <w:p w14:paraId="511B7D0F">
            <w:pPr>
              <w:rPr>
                <w:rFonts w:hint="eastAsia" w:ascii="宋体" w:hAnsi="宋体"/>
                <w:sz w:val="18"/>
                <w:szCs w:val="18"/>
              </w:rPr>
            </w:pPr>
            <w:r>
              <w:rPr>
                <w:rFonts w:ascii="宋体" w:hAnsi="宋体"/>
                <w:sz w:val="18"/>
                <w:szCs w:val="18"/>
              </w:rPr>
              <w:t>堆码试验</w:t>
            </w:r>
          </w:p>
        </w:tc>
        <w:tc>
          <w:tcPr>
            <w:tcW w:w="4516" w:type="dxa"/>
            <w:vAlign w:val="center"/>
          </w:tcPr>
          <w:p w14:paraId="2699968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401570" cy="996950"/>
                  <wp:effectExtent l="0" t="0" r="0" b="0"/>
                  <wp:docPr id="12584699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469940" name="图片 1"/>
                          <pic:cNvPicPr>
                            <a:picLocks noChangeAspect="1"/>
                          </pic:cNvPicPr>
                        </pic:nvPicPr>
                        <pic:blipFill>
                          <a:blip r:embed="rId29"/>
                          <a:stretch>
                            <a:fillRect/>
                          </a:stretch>
                        </pic:blipFill>
                        <pic:spPr>
                          <a:xfrm>
                            <a:off x="0" y="0"/>
                            <a:ext cx="2438087" cy="1012612"/>
                          </a:xfrm>
                          <a:prstGeom prst="rect">
                            <a:avLst/>
                          </a:prstGeom>
                        </pic:spPr>
                      </pic:pic>
                    </a:graphicData>
                  </a:graphic>
                </wp:inline>
              </w:drawing>
            </w:r>
          </w:p>
        </w:tc>
        <w:tc>
          <w:tcPr>
            <w:tcW w:w="2939" w:type="dxa"/>
            <w:vAlign w:val="center"/>
          </w:tcPr>
          <w:p w14:paraId="6D31819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377315" cy="949325"/>
                  <wp:effectExtent l="0" t="0" r="0" b="3175"/>
                  <wp:docPr id="21014130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413031" name="图片 1"/>
                          <pic:cNvPicPr>
                            <a:picLocks noChangeAspect="1"/>
                          </pic:cNvPicPr>
                        </pic:nvPicPr>
                        <pic:blipFill>
                          <a:blip r:embed="rId30"/>
                          <a:stretch>
                            <a:fillRect/>
                          </a:stretch>
                        </pic:blipFill>
                        <pic:spPr>
                          <a:xfrm>
                            <a:off x="0" y="0"/>
                            <a:ext cx="1590757" cy="1096538"/>
                          </a:xfrm>
                          <a:prstGeom prst="rect">
                            <a:avLst/>
                          </a:prstGeom>
                        </pic:spPr>
                      </pic:pic>
                    </a:graphicData>
                  </a:graphic>
                </wp:inline>
              </w:drawing>
            </w:r>
          </w:p>
        </w:tc>
      </w:tr>
      <w:tr w14:paraId="7C92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716" w:type="dxa"/>
            <w:vMerge w:val="continue"/>
          </w:tcPr>
          <w:p w14:paraId="565891F9">
            <w:pPr>
              <w:rPr>
                <w:rFonts w:hint="eastAsia" w:ascii="宋体" w:hAnsi="宋体"/>
                <w:sz w:val="18"/>
                <w:szCs w:val="18"/>
              </w:rPr>
            </w:pPr>
          </w:p>
        </w:tc>
        <w:tc>
          <w:tcPr>
            <w:tcW w:w="1183" w:type="dxa"/>
            <w:vMerge w:val="continue"/>
          </w:tcPr>
          <w:p w14:paraId="1EE4D008">
            <w:pPr>
              <w:rPr>
                <w:rFonts w:hint="eastAsia" w:ascii="宋体" w:hAnsi="宋体"/>
                <w:sz w:val="18"/>
                <w:szCs w:val="18"/>
              </w:rPr>
            </w:pPr>
          </w:p>
        </w:tc>
        <w:tc>
          <w:tcPr>
            <w:tcW w:w="4516" w:type="dxa"/>
          </w:tcPr>
          <w:p w14:paraId="4B0D7CD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395220" cy="1076960"/>
                  <wp:effectExtent l="0" t="0" r="5080" b="8890"/>
                  <wp:docPr id="6546367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636758" name="图片 1"/>
                          <pic:cNvPicPr>
                            <a:picLocks noChangeAspect="1"/>
                          </pic:cNvPicPr>
                        </pic:nvPicPr>
                        <pic:blipFill>
                          <a:blip r:embed="rId31"/>
                          <a:stretch>
                            <a:fillRect/>
                          </a:stretch>
                        </pic:blipFill>
                        <pic:spPr>
                          <a:xfrm>
                            <a:off x="0" y="0"/>
                            <a:ext cx="2474832" cy="1112801"/>
                          </a:xfrm>
                          <a:prstGeom prst="rect">
                            <a:avLst/>
                          </a:prstGeom>
                        </pic:spPr>
                      </pic:pic>
                    </a:graphicData>
                  </a:graphic>
                </wp:inline>
              </w:drawing>
            </w:r>
          </w:p>
        </w:tc>
        <w:tc>
          <w:tcPr>
            <w:tcW w:w="2939" w:type="dxa"/>
            <w:vAlign w:val="center"/>
          </w:tcPr>
          <w:p w14:paraId="5F7A942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477645" cy="993140"/>
                  <wp:effectExtent l="0" t="0" r="8255" b="0"/>
                  <wp:docPr id="3209787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978737" name="图片 1"/>
                          <pic:cNvPicPr>
                            <a:picLocks noChangeAspect="1"/>
                          </pic:cNvPicPr>
                        </pic:nvPicPr>
                        <pic:blipFill>
                          <a:blip r:embed="rId32"/>
                          <a:stretch>
                            <a:fillRect/>
                          </a:stretch>
                        </pic:blipFill>
                        <pic:spPr>
                          <a:xfrm>
                            <a:off x="0" y="0"/>
                            <a:ext cx="1508589" cy="1014202"/>
                          </a:xfrm>
                          <a:prstGeom prst="rect">
                            <a:avLst/>
                          </a:prstGeom>
                        </pic:spPr>
                      </pic:pic>
                    </a:graphicData>
                  </a:graphic>
                </wp:inline>
              </w:drawing>
            </w:r>
          </w:p>
        </w:tc>
      </w:tr>
      <w:tr w14:paraId="4A6F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trPr>
        <w:tc>
          <w:tcPr>
            <w:tcW w:w="716" w:type="dxa"/>
            <w:vMerge w:val="continue"/>
          </w:tcPr>
          <w:p w14:paraId="18560CF4">
            <w:pPr>
              <w:rPr>
                <w:rFonts w:hint="eastAsia" w:ascii="宋体" w:hAnsi="宋体"/>
                <w:sz w:val="18"/>
                <w:szCs w:val="18"/>
              </w:rPr>
            </w:pPr>
          </w:p>
        </w:tc>
        <w:tc>
          <w:tcPr>
            <w:tcW w:w="1183" w:type="dxa"/>
            <w:vMerge w:val="continue"/>
          </w:tcPr>
          <w:p w14:paraId="383BBC97">
            <w:pPr>
              <w:rPr>
                <w:rFonts w:hint="eastAsia" w:ascii="宋体" w:hAnsi="宋体"/>
                <w:sz w:val="18"/>
                <w:szCs w:val="18"/>
              </w:rPr>
            </w:pPr>
          </w:p>
        </w:tc>
        <w:tc>
          <w:tcPr>
            <w:tcW w:w="4516" w:type="dxa"/>
            <w:vAlign w:val="center"/>
          </w:tcPr>
          <w:p w14:paraId="66BEBF6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438400" cy="1090295"/>
                  <wp:effectExtent l="0" t="0" r="0" b="0"/>
                  <wp:docPr id="17848588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858837" name="图片 1"/>
                          <pic:cNvPicPr>
                            <a:picLocks noChangeAspect="1"/>
                          </pic:cNvPicPr>
                        </pic:nvPicPr>
                        <pic:blipFill>
                          <a:blip r:embed="rId33"/>
                          <a:stretch>
                            <a:fillRect/>
                          </a:stretch>
                        </pic:blipFill>
                        <pic:spPr>
                          <a:xfrm>
                            <a:off x="0" y="0"/>
                            <a:ext cx="2484679" cy="1111217"/>
                          </a:xfrm>
                          <a:prstGeom prst="rect">
                            <a:avLst/>
                          </a:prstGeom>
                        </pic:spPr>
                      </pic:pic>
                    </a:graphicData>
                  </a:graphic>
                </wp:inline>
              </w:drawing>
            </w:r>
          </w:p>
        </w:tc>
        <w:tc>
          <w:tcPr>
            <w:tcW w:w="2939" w:type="dxa"/>
            <w:vAlign w:val="center"/>
          </w:tcPr>
          <w:p w14:paraId="3EC298E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511300" cy="1042035"/>
                  <wp:effectExtent l="0" t="0" r="0" b="5715"/>
                  <wp:docPr id="15133636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363690" name="图片 1"/>
                          <pic:cNvPicPr>
                            <a:picLocks noChangeAspect="1"/>
                          </pic:cNvPicPr>
                        </pic:nvPicPr>
                        <pic:blipFill>
                          <a:blip r:embed="rId34"/>
                          <a:stretch>
                            <a:fillRect/>
                          </a:stretch>
                        </pic:blipFill>
                        <pic:spPr>
                          <a:xfrm>
                            <a:off x="0" y="0"/>
                            <a:ext cx="1529562" cy="1054725"/>
                          </a:xfrm>
                          <a:prstGeom prst="rect">
                            <a:avLst/>
                          </a:prstGeom>
                        </pic:spPr>
                      </pic:pic>
                    </a:graphicData>
                  </a:graphic>
                </wp:inline>
              </w:drawing>
            </w:r>
          </w:p>
        </w:tc>
      </w:tr>
      <w:tr w14:paraId="2582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1" w:hRule="atLeast"/>
        </w:trPr>
        <w:tc>
          <w:tcPr>
            <w:tcW w:w="716" w:type="dxa"/>
            <w:vMerge w:val="continue"/>
          </w:tcPr>
          <w:p w14:paraId="3FEDC969">
            <w:pPr>
              <w:rPr>
                <w:rFonts w:hint="eastAsia" w:ascii="宋体" w:hAnsi="宋体"/>
                <w:sz w:val="18"/>
                <w:szCs w:val="18"/>
              </w:rPr>
            </w:pPr>
          </w:p>
        </w:tc>
        <w:tc>
          <w:tcPr>
            <w:tcW w:w="1183" w:type="dxa"/>
            <w:vMerge w:val="continue"/>
          </w:tcPr>
          <w:p w14:paraId="2054893A">
            <w:pPr>
              <w:rPr>
                <w:rFonts w:hint="eastAsia" w:ascii="宋体" w:hAnsi="宋体"/>
                <w:sz w:val="18"/>
                <w:szCs w:val="18"/>
              </w:rPr>
            </w:pPr>
          </w:p>
        </w:tc>
        <w:tc>
          <w:tcPr>
            <w:tcW w:w="7455" w:type="dxa"/>
            <w:gridSpan w:val="2"/>
            <w:vAlign w:val="center"/>
          </w:tcPr>
          <w:p w14:paraId="662145DE">
            <w:pPr>
              <w:jc w:val="center"/>
              <w:rPr>
                <w:rFonts w:hint="eastAsia" w:ascii="宋体" w:hAnsi="宋体"/>
                <w:sz w:val="18"/>
                <w:szCs w:val="18"/>
              </w:rPr>
            </w:pPr>
            <m:oMathPara>
              <m:oMath>
                <m:r>
                  <m:rPr/>
                  <w:rPr>
                    <w:rFonts w:ascii="Cambria Math" w:hAnsi="Cambria Math"/>
                    <w:sz w:val="18"/>
                    <w:szCs w:val="18"/>
                  </w:rPr>
                  <m:t>F1=</m:t>
                </m:r>
                <m:f>
                  <m:fPr>
                    <m:ctrlPr>
                      <w:rPr>
                        <w:rFonts w:ascii="Cambria Math" w:hAnsi="Cambria Math"/>
                        <w:i/>
                        <w:sz w:val="18"/>
                        <w:szCs w:val="18"/>
                      </w:rPr>
                    </m:ctrlPr>
                  </m:fPr>
                  <m:num>
                    <m:r>
                      <m:rPr/>
                      <w:rPr>
                        <w:rFonts w:ascii="Cambria Math" w:hAnsi="Cambria Math"/>
                        <w:sz w:val="18"/>
                        <w:szCs w:val="18"/>
                      </w:rPr>
                      <m:t>942+1.8</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z</m:t>
                        </m:r>
                        <m:ctrlPr>
                          <w:rPr>
                            <w:rFonts w:ascii="Cambria Math" w:hAnsi="Cambria Math"/>
                            <w:i/>
                            <w:sz w:val="18"/>
                            <w:szCs w:val="18"/>
                          </w:rPr>
                        </m:ctrlPr>
                      </m:sub>
                    </m:sSub>
                    <m:ctrlPr>
                      <w:rPr>
                        <w:rFonts w:ascii="Cambria Math" w:hAnsi="Cambria Math"/>
                        <w:i/>
                        <w:sz w:val="18"/>
                        <w:szCs w:val="18"/>
                      </w:rPr>
                    </m:ctrlPr>
                  </m:num>
                  <m:den>
                    <m:r>
                      <m:rPr/>
                      <w:rPr>
                        <w:rFonts w:ascii="Cambria Math" w:hAnsi="Cambria Math"/>
                        <w:sz w:val="18"/>
                        <w:szCs w:val="18"/>
                      </w:rPr>
                      <m:t>4n</m:t>
                    </m:r>
                    <m:ctrlPr>
                      <w:rPr>
                        <w:rFonts w:ascii="Cambria Math" w:hAnsi="Cambria Math"/>
                        <w:i/>
                        <w:sz w:val="18"/>
                        <w:szCs w:val="18"/>
                      </w:rPr>
                    </m:ctrlPr>
                  </m:den>
                </m:f>
                <m:r>
                  <m:rPr/>
                  <w:rPr>
                    <w:rFonts w:ascii="Cambria Math" w:hAnsi="Cambria Math"/>
                    <w:sz w:val="18"/>
                    <w:szCs w:val="18"/>
                  </w:rPr>
                  <m:t xml:space="preserve"> KN</m:t>
                </m:r>
              </m:oMath>
            </m:oMathPara>
          </w:p>
        </w:tc>
      </w:tr>
      <w:tr w14:paraId="7931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716" w:type="dxa"/>
            <w:vMerge w:val="restart"/>
            <w:vAlign w:val="center"/>
          </w:tcPr>
          <w:p w14:paraId="10F6E278">
            <w:pPr>
              <w:rPr>
                <w:rFonts w:hint="eastAsia" w:ascii="宋体" w:hAnsi="宋体"/>
                <w:sz w:val="18"/>
                <w:szCs w:val="18"/>
              </w:rPr>
            </w:pPr>
            <w:r>
              <w:rPr>
                <w:rFonts w:ascii="宋体" w:hAnsi="宋体"/>
                <w:sz w:val="18"/>
                <w:szCs w:val="18"/>
              </w:rPr>
              <w:t>2</w:t>
            </w:r>
          </w:p>
        </w:tc>
        <w:tc>
          <w:tcPr>
            <w:tcW w:w="1183" w:type="dxa"/>
            <w:vMerge w:val="restart"/>
            <w:vAlign w:val="center"/>
          </w:tcPr>
          <w:p w14:paraId="6A5AD7FA">
            <w:pPr>
              <w:spacing w:line="240" w:lineRule="auto"/>
              <w:jc w:val="left"/>
              <w:rPr>
                <w:rFonts w:hint="eastAsia" w:ascii="宋体" w:hAnsi="宋体"/>
                <w:sz w:val="18"/>
                <w:szCs w:val="18"/>
              </w:rPr>
            </w:pPr>
            <w:r>
              <w:rPr>
                <w:rFonts w:hint="eastAsia" w:ascii="宋体" w:hAnsi="宋体"/>
                <w:sz w:val="18"/>
                <w:szCs w:val="18"/>
              </w:rPr>
              <w:t>联挂单元的</w:t>
            </w:r>
            <w:r>
              <w:rPr>
                <w:rFonts w:ascii="宋体" w:hAnsi="宋体"/>
                <w:sz w:val="18"/>
                <w:szCs w:val="18"/>
              </w:rPr>
              <w:t>堆码试验</w:t>
            </w:r>
          </w:p>
        </w:tc>
        <w:tc>
          <w:tcPr>
            <w:tcW w:w="4516" w:type="dxa"/>
            <w:vAlign w:val="center"/>
          </w:tcPr>
          <w:p w14:paraId="3A1C8F7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505075" cy="1119505"/>
                  <wp:effectExtent l="0" t="0" r="0" b="4445"/>
                  <wp:docPr id="10666668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66800" name="图片 1"/>
                          <pic:cNvPicPr>
                            <a:picLocks noChangeAspect="1"/>
                          </pic:cNvPicPr>
                        </pic:nvPicPr>
                        <pic:blipFill>
                          <a:blip r:embed="rId35"/>
                          <a:stretch>
                            <a:fillRect/>
                          </a:stretch>
                        </pic:blipFill>
                        <pic:spPr>
                          <a:xfrm>
                            <a:off x="0" y="0"/>
                            <a:ext cx="2560746" cy="1144586"/>
                          </a:xfrm>
                          <a:prstGeom prst="rect">
                            <a:avLst/>
                          </a:prstGeom>
                        </pic:spPr>
                      </pic:pic>
                    </a:graphicData>
                  </a:graphic>
                </wp:inline>
              </w:drawing>
            </w:r>
          </w:p>
        </w:tc>
        <w:tc>
          <w:tcPr>
            <w:tcW w:w="2939" w:type="dxa"/>
            <w:vAlign w:val="center"/>
          </w:tcPr>
          <w:p w14:paraId="74B9063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376045" cy="932180"/>
                  <wp:effectExtent l="0" t="0" r="0" b="1270"/>
                  <wp:docPr id="11991729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2963" name="图片 1"/>
                          <pic:cNvPicPr>
                            <a:picLocks noChangeAspect="1"/>
                          </pic:cNvPicPr>
                        </pic:nvPicPr>
                        <pic:blipFill>
                          <a:blip r:embed="rId36"/>
                          <a:stretch>
                            <a:fillRect/>
                          </a:stretch>
                        </pic:blipFill>
                        <pic:spPr>
                          <a:xfrm>
                            <a:off x="0" y="0"/>
                            <a:ext cx="1406784" cy="953486"/>
                          </a:xfrm>
                          <a:prstGeom prst="rect">
                            <a:avLst/>
                          </a:prstGeom>
                        </pic:spPr>
                      </pic:pic>
                    </a:graphicData>
                  </a:graphic>
                </wp:inline>
              </w:drawing>
            </w:r>
          </w:p>
        </w:tc>
      </w:tr>
      <w:tr w14:paraId="4D34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16" w:type="dxa"/>
            <w:vMerge w:val="continue"/>
          </w:tcPr>
          <w:p w14:paraId="7DA01EE5">
            <w:pPr>
              <w:rPr>
                <w:rFonts w:hint="eastAsia" w:ascii="宋体" w:hAnsi="宋体"/>
                <w:sz w:val="18"/>
                <w:szCs w:val="18"/>
              </w:rPr>
            </w:pPr>
          </w:p>
        </w:tc>
        <w:tc>
          <w:tcPr>
            <w:tcW w:w="1183" w:type="dxa"/>
            <w:vMerge w:val="continue"/>
          </w:tcPr>
          <w:p w14:paraId="02CE3500">
            <w:pPr>
              <w:spacing w:line="240" w:lineRule="auto"/>
              <w:rPr>
                <w:rFonts w:hint="eastAsia" w:ascii="宋体" w:hAnsi="宋体"/>
                <w:sz w:val="18"/>
                <w:szCs w:val="18"/>
              </w:rPr>
            </w:pPr>
          </w:p>
        </w:tc>
        <w:tc>
          <w:tcPr>
            <w:tcW w:w="7455" w:type="dxa"/>
            <w:gridSpan w:val="2"/>
            <w:vAlign w:val="center"/>
          </w:tcPr>
          <w:p w14:paraId="3BD3F394">
            <w:pPr>
              <w:jc w:val="center"/>
              <w:rPr>
                <w:rFonts w:hint="eastAsia" w:ascii="宋体" w:hAnsi="宋体"/>
                <w:sz w:val="18"/>
                <w:szCs w:val="18"/>
              </w:rPr>
            </w:pPr>
            <m:oMathPara>
              <m:oMathParaPr>
                <m:jc m:val="center"/>
              </m:oMathParaPr>
              <m:oMath>
                <m:r>
                  <m:rPr/>
                  <w:rPr>
                    <w:rFonts w:ascii="Cambria Math" w:hAnsi="Cambria Math"/>
                    <w:sz w:val="18"/>
                    <w:szCs w:val="18"/>
                  </w:rPr>
                  <m:t>F2=</m:t>
                </m:r>
                <m:f>
                  <m:fPr>
                    <m:ctrlPr>
                      <w:rPr>
                        <w:rFonts w:ascii="Cambria Math" w:hAnsi="Cambria Math"/>
                        <w:i/>
                        <w:sz w:val="18"/>
                        <w:szCs w:val="18"/>
                      </w:rPr>
                    </m:ctrlPr>
                  </m:fPr>
                  <m:num>
                    <m:r>
                      <m:rPr/>
                      <w:rPr>
                        <w:rFonts w:ascii="Cambria Math" w:hAnsi="Cambria Math"/>
                        <w:sz w:val="18"/>
                        <w:szCs w:val="18"/>
                      </w:rPr>
                      <m:t>942+1.8</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hint="eastAsia" w:ascii="Cambria Math" w:hAnsi="Cambria Math"/>
                            <w:sz w:val="18"/>
                            <w:szCs w:val="18"/>
                          </w:rPr>
                          <m:t>z</m:t>
                        </m:r>
                        <m:ctrlPr>
                          <w:rPr>
                            <w:rFonts w:ascii="Cambria Math" w:hAnsi="Cambria Math"/>
                            <w:i/>
                            <w:sz w:val="18"/>
                            <w:szCs w:val="18"/>
                          </w:rPr>
                        </m:ctrlPr>
                      </m:sub>
                    </m:sSub>
                    <m:ctrlPr>
                      <w:rPr>
                        <w:rFonts w:ascii="Cambria Math" w:hAnsi="Cambria Math"/>
                        <w:i/>
                        <w:sz w:val="18"/>
                        <w:szCs w:val="18"/>
                      </w:rPr>
                    </m:ctrlPr>
                  </m:num>
                  <m:den>
                    <m:r>
                      <m:rPr/>
                      <w:rPr>
                        <w:rFonts w:ascii="Cambria Math" w:hAnsi="Cambria Math"/>
                        <w:sz w:val="18"/>
                        <w:szCs w:val="18"/>
                      </w:rPr>
                      <m:t>4</m:t>
                    </m:r>
                    <m:ctrlPr>
                      <w:rPr>
                        <w:rFonts w:ascii="Cambria Math" w:hAnsi="Cambria Math"/>
                        <w:i/>
                        <w:sz w:val="18"/>
                        <w:szCs w:val="18"/>
                      </w:rPr>
                    </m:ctrlPr>
                  </m:den>
                </m:f>
                <m:r>
                  <m:rPr/>
                  <w:rPr>
                    <w:rFonts w:ascii="Cambria Math" w:hAnsi="Cambria Math"/>
                    <w:sz w:val="18"/>
                    <w:szCs w:val="18"/>
                  </w:rPr>
                  <m:t xml:space="preserve">  KN</m:t>
                </m:r>
              </m:oMath>
            </m:oMathPara>
          </w:p>
        </w:tc>
      </w:tr>
      <w:tr w14:paraId="23744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716" w:type="dxa"/>
            <w:vAlign w:val="center"/>
          </w:tcPr>
          <w:p w14:paraId="6876B2FA">
            <w:pPr>
              <w:rPr>
                <w:rFonts w:hint="eastAsia" w:ascii="宋体" w:hAnsi="宋体"/>
                <w:sz w:val="18"/>
                <w:szCs w:val="18"/>
              </w:rPr>
            </w:pPr>
            <w:r>
              <w:rPr>
                <w:rFonts w:ascii="宋体" w:hAnsi="宋体"/>
                <w:sz w:val="18"/>
                <w:szCs w:val="18"/>
              </w:rPr>
              <w:t>3</w:t>
            </w:r>
          </w:p>
        </w:tc>
        <w:tc>
          <w:tcPr>
            <w:tcW w:w="1183" w:type="dxa"/>
            <w:vAlign w:val="center"/>
          </w:tcPr>
          <w:p w14:paraId="2CBD07D9">
            <w:pPr>
              <w:spacing w:before="120" w:beforeLines="50" w:after="120" w:afterLines="50" w:line="240" w:lineRule="auto"/>
              <w:rPr>
                <w:rFonts w:hint="eastAsia" w:ascii="宋体" w:hAnsi="宋体"/>
                <w:sz w:val="18"/>
                <w:szCs w:val="18"/>
              </w:rPr>
            </w:pPr>
            <w:r>
              <w:rPr>
                <w:rFonts w:ascii="宋体" w:hAnsi="宋体"/>
                <w:sz w:val="18"/>
                <w:szCs w:val="18"/>
              </w:rPr>
              <w:t>顶部四个起吊角件起吊试验</w:t>
            </w:r>
          </w:p>
        </w:tc>
        <w:tc>
          <w:tcPr>
            <w:tcW w:w="4516" w:type="dxa"/>
            <w:vAlign w:val="center"/>
          </w:tcPr>
          <w:p w14:paraId="6AE2E04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511425" cy="885190"/>
                  <wp:effectExtent l="0" t="0" r="3175" b="0"/>
                  <wp:docPr id="2364347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34790" name="图片 1"/>
                          <pic:cNvPicPr>
                            <a:picLocks noChangeAspect="1"/>
                          </pic:cNvPicPr>
                        </pic:nvPicPr>
                        <pic:blipFill>
                          <a:blip r:embed="rId37"/>
                          <a:stretch>
                            <a:fillRect/>
                          </a:stretch>
                        </pic:blipFill>
                        <pic:spPr>
                          <a:xfrm>
                            <a:off x="0" y="0"/>
                            <a:ext cx="2511425" cy="885190"/>
                          </a:xfrm>
                          <a:prstGeom prst="rect">
                            <a:avLst/>
                          </a:prstGeom>
                        </pic:spPr>
                      </pic:pic>
                    </a:graphicData>
                  </a:graphic>
                </wp:inline>
              </w:drawing>
            </w:r>
          </w:p>
        </w:tc>
        <w:tc>
          <w:tcPr>
            <w:tcW w:w="2939" w:type="dxa"/>
            <w:vAlign w:val="center"/>
          </w:tcPr>
          <w:p w14:paraId="1CC3ED5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462405" cy="792480"/>
                  <wp:effectExtent l="0" t="0" r="4445" b="7620"/>
                  <wp:docPr id="9298330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33040" name="图片 1"/>
                          <pic:cNvPicPr>
                            <a:picLocks noChangeAspect="1"/>
                          </pic:cNvPicPr>
                        </pic:nvPicPr>
                        <pic:blipFill>
                          <a:blip r:embed="rId38"/>
                          <a:stretch>
                            <a:fillRect/>
                          </a:stretch>
                        </pic:blipFill>
                        <pic:spPr>
                          <a:xfrm>
                            <a:off x="0" y="0"/>
                            <a:ext cx="1497942" cy="811661"/>
                          </a:xfrm>
                          <a:prstGeom prst="rect">
                            <a:avLst/>
                          </a:prstGeom>
                        </pic:spPr>
                      </pic:pic>
                    </a:graphicData>
                  </a:graphic>
                </wp:inline>
              </w:drawing>
            </w:r>
          </w:p>
        </w:tc>
      </w:tr>
      <w:tr w14:paraId="79C96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1" w:hRule="atLeast"/>
        </w:trPr>
        <w:tc>
          <w:tcPr>
            <w:tcW w:w="716" w:type="dxa"/>
            <w:vMerge w:val="restart"/>
            <w:vAlign w:val="center"/>
          </w:tcPr>
          <w:p w14:paraId="3FADE27C">
            <w:pPr>
              <w:rPr>
                <w:rFonts w:hint="eastAsia" w:ascii="宋体" w:hAnsi="宋体"/>
                <w:sz w:val="18"/>
                <w:szCs w:val="18"/>
              </w:rPr>
            </w:pPr>
            <w:r>
              <w:rPr>
                <w:rFonts w:ascii="宋体" w:hAnsi="宋体"/>
                <w:sz w:val="18"/>
                <w:szCs w:val="18"/>
              </w:rPr>
              <w:t>4</w:t>
            </w:r>
          </w:p>
        </w:tc>
        <w:tc>
          <w:tcPr>
            <w:tcW w:w="1183" w:type="dxa"/>
            <w:vMerge w:val="restart"/>
            <w:vAlign w:val="center"/>
          </w:tcPr>
          <w:p w14:paraId="0CD688E4">
            <w:pPr>
              <w:spacing w:line="240" w:lineRule="auto"/>
              <w:jc w:val="left"/>
              <w:rPr>
                <w:rFonts w:hint="eastAsia" w:ascii="宋体" w:hAnsi="宋体"/>
                <w:sz w:val="18"/>
                <w:szCs w:val="18"/>
              </w:rPr>
            </w:pPr>
            <w:r>
              <w:rPr>
                <w:rFonts w:ascii="宋体" w:hAnsi="宋体"/>
                <w:sz w:val="18"/>
                <w:szCs w:val="18"/>
              </w:rPr>
              <w:t>横向刚性试验</w:t>
            </w:r>
          </w:p>
        </w:tc>
        <w:tc>
          <w:tcPr>
            <w:tcW w:w="4516" w:type="dxa"/>
          </w:tcPr>
          <w:p w14:paraId="6C7F29D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p>
          <w:p w14:paraId="1D4E3E2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hint="eastAsia" w:ascii="宋体" w:hAnsi="宋体"/>
                <w:sz w:val="18"/>
                <w:szCs w:val="18"/>
              </w:rPr>
              <w:t>施加推力</w:t>
            </w:r>
          </w:p>
          <w:p w14:paraId="5DB29E1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596515" cy="1022985"/>
                  <wp:effectExtent l="0" t="0" r="1905" b="3175"/>
                  <wp:docPr id="5477741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774159" name="图片 1"/>
                          <pic:cNvPicPr>
                            <a:picLocks noChangeAspect="1"/>
                          </pic:cNvPicPr>
                        </pic:nvPicPr>
                        <pic:blipFill>
                          <a:blip r:embed="rId39"/>
                          <a:stretch>
                            <a:fillRect/>
                          </a:stretch>
                        </pic:blipFill>
                        <pic:spPr>
                          <a:xfrm>
                            <a:off x="0" y="0"/>
                            <a:ext cx="2596515" cy="1022985"/>
                          </a:xfrm>
                          <a:prstGeom prst="rect">
                            <a:avLst/>
                          </a:prstGeom>
                        </pic:spPr>
                      </pic:pic>
                    </a:graphicData>
                  </a:graphic>
                </wp:inline>
              </w:drawing>
            </w:r>
          </w:p>
          <w:p w14:paraId="2868400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p>
        </w:tc>
        <w:tc>
          <w:tcPr>
            <w:tcW w:w="2939" w:type="dxa"/>
            <w:vMerge w:val="restart"/>
          </w:tcPr>
          <w:p w14:paraId="426D650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p>
        </w:tc>
      </w:tr>
      <w:tr w14:paraId="53A5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trPr>
        <w:tc>
          <w:tcPr>
            <w:tcW w:w="716" w:type="dxa"/>
            <w:vMerge w:val="continue"/>
            <w:vAlign w:val="center"/>
          </w:tcPr>
          <w:p w14:paraId="3DEDD66A">
            <w:pPr>
              <w:rPr>
                <w:rFonts w:hint="eastAsia" w:ascii="宋体" w:hAnsi="宋体"/>
                <w:sz w:val="18"/>
                <w:szCs w:val="18"/>
              </w:rPr>
            </w:pPr>
          </w:p>
        </w:tc>
        <w:tc>
          <w:tcPr>
            <w:tcW w:w="1183" w:type="dxa"/>
            <w:vMerge w:val="continue"/>
            <w:vAlign w:val="center"/>
          </w:tcPr>
          <w:p w14:paraId="6847751A">
            <w:pPr>
              <w:spacing w:line="240" w:lineRule="auto"/>
              <w:rPr>
                <w:rFonts w:hint="eastAsia" w:ascii="宋体" w:hAnsi="宋体"/>
                <w:sz w:val="18"/>
                <w:szCs w:val="18"/>
              </w:rPr>
            </w:pPr>
          </w:p>
        </w:tc>
        <w:tc>
          <w:tcPr>
            <w:tcW w:w="4516" w:type="dxa"/>
          </w:tcPr>
          <w:p w14:paraId="1864430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632075" cy="1042035"/>
                  <wp:effectExtent l="0" t="0" r="0" b="9525"/>
                  <wp:docPr id="7801624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62455" name="图片 1"/>
                          <pic:cNvPicPr>
                            <a:picLocks noChangeAspect="1"/>
                          </pic:cNvPicPr>
                        </pic:nvPicPr>
                        <pic:blipFill>
                          <a:blip r:embed="rId40"/>
                          <a:stretch>
                            <a:fillRect/>
                          </a:stretch>
                        </pic:blipFill>
                        <pic:spPr>
                          <a:xfrm>
                            <a:off x="0" y="0"/>
                            <a:ext cx="2632075" cy="1042035"/>
                          </a:xfrm>
                          <a:prstGeom prst="rect">
                            <a:avLst/>
                          </a:prstGeom>
                        </pic:spPr>
                      </pic:pic>
                    </a:graphicData>
                  </a:graphic>
                </wp:inline>
              </w:drawing>
            </w:r>
          </w:p>
        </w:tc>
        <w:tc>
          <w:tcPr>
            <w:tcW w:w="2939" w:type="dxa"/>
            <w:vMerge w:val="continue"/>
          </w:tcPr>
          <w:p w14:paraId="596D5D68">
            <w:pPr>
              <w:rPr>
                <w:rFonts w:hint="eastAsia" w:ascii="宋体" w:hAnsi="宋体"/>
                <w:sz w:val="18"/>
                <w:szCs w:val="18"/>
              </w:rPr>
            </w:pPr>
          </w:p>
        </w:tc>
      </w:tr>
      <w:tr w14:paraId="78C3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2" w:hRule="atLeast"/>
        </w:trPr>
        <w:tc>
          <w:tcPr>
            <w:tcW w:w="716" w:type="dxa"/>
            <w:vMerge w:val="continue"/>
            <w:vAlign w:val="center"/>
          </w:tcPr>
          <w:p w14:paraId="048E1C88">
            <w:pPr>
              <w:rPr>
                <w:rFonts w:hint="eastAsia" w:ascii="宋体" w:hAnsi="宋体"/>
                <w:sz w:val="18"/>
                <w:szCs w:val="18"/>
              </w:rPr>
            </w:pPr>
          </w:p>
        </w:tc>
        <w:tc>
          <w:tcPr>
            <w:tcW w:w="1183" w:type="dxa"/>
            <w:vMerge w:val="continue"/>
            <w:vAlign w:val="center"/>
          </w:tcPr>
          <w:p w14:paraId="5AE949F2">
            <w:pPr>
              <w:spacing w:line="240" w:lineRule="auto"/>
              <w:rPr>
                <w:rFonts w:hint="eastAsia" w:ascii="宋体" w:hAnsi="宋体"/>
                <w:sz w:val="18"/>
                <w:szCs w:val="18"/>
              </w:rPr>
            </w:pPr>
          </w:p>
        </w:tc>
        <w:tc>
          <w:tcPr>
            <w:tcW w:w="4516" w:type="dxa"/>
            <w:vAlign w:val="center"/>
          </w:tcPr>
          <w:p w14:paraId="42C6C02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663825" cy="1069975"/>
                  <wp:effectExtent l="0" t="0" r="3175" b="0"/>
                  <wp:docPr id="253105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105488" name="图片 1"/>
                          <pic:cNvPicPr>
                            <a:picLocks noChangeAspect="1"/>
                          </pic:cNvPicPr>
                        </pic:nvPicPr>
                        <pic:blipFill>
                          <a:blip r:embed="rId41"/>
                          <a:stretch>
                            <a:fillRect/>
                          </a:stretch>
                        </pic:blipFill>
                        <pic:spPr>
                          <a:xfrm>
                            <a:off x="0" y="0"/>
                            <a:ext cx="2663825" cy="1069975"/>
                          </a:xfrm>
                          <a:prstGeom prst="rect">
                            <a:avLst/>
                          </a:prstGeom>
                        </pic:spPr>
                      </pic:pic>
                    </a:graphicData>
                  </a:graphic>
                </wp:inline>
              </w:drawing>
            </w:r>
          </w:p>
        </w:tc>
        <w:tc>
          <w:tcPr>
            <w:tcW w:w="2939" w:type="dxa"/>
            <w:vMerge w:val="continue"/>
          </w:tcPr>
          <w:p w14:paraId="5DC56516">
            <w:pPr>
              <w:rPr>
                <w:rFonts w:hint="eastAsia" w:ascii="宋体" w:hAnsi="宋体"/>
                <w:sz w:val="18"/>
                <w:szCs w:val="18"/>
              </w:rPr>
            </w:pPr>
          </w:p>
        </w:tc>
      </w:tr>
      <w:tr w14:paraId="48A2D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716" w:type="dxa"/>
            <w:vMerge w:val="continue"/>
            <w:vAlign w:val="center"/>
          </w:tcPr>
          <w:p w14:paraId="112300DB">
            <w:pPr>
              <w:rPr>
                <w:rFonts w:hint="eastAsia" w:ascii="宋体" w:hAnsi="宋体"/>
                <w:sz w:val="18"/>
                <w:szCs w:val="18"/>
              </w:rPr>
            </w:pPr>
          </w:p>
        </w:tc>
        <w:tc>
          <w:tcPr>
            <w:tcW w:w="1183" w:type="dxa"/>
            <w:vMerge w:val="continue"/>
            <w:vAlign w:val="center"/>
          </w:tcPr>
          <w:p w14:paraId="06E49DEA">
            <w:pPr>
              <w:spacing w:line="240" w:lineRule="auto"/>
              <w:rPr>
                <w:rFonts w:hint="eastAsia" w:ascii="宋体" w:hAnsi="宋体"/>
                <w:sz w:val="18"/>
                <w:szCs w:val="18"/>
              </w:rPr>
            </w:pPr>
          </w:p>
        </w:tc>
        <w:tc>
          <w:tcPr>
            <w:tcW w:w="4516" w:type="dxa"/>
            <w:vAlign w:val="center"/>
          </w:tcPr>
          <w:p w14:paraId="0B8AD10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hint="eastAsia" w:ascii="宋体" w:hAnsi="宋体"/>
                <w:sz w:val="18"/>
                <w:szCs w:val="18"/>
              </w:rPr>
              <w:t>施加拉力</w:t>
            </w:r>
          </w:p>
          <w:p w14:paraId="6780F9A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672715" cy="1011555"/>
                  <wp:effectExtent l="0" t="0" r="0" b="8890"/>
                  <wp:docPr id="8119958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995850" name="图片 1"/>
                          <pic:cNvPicPr>
                            <a:picLocks noChangeAspect="1"/>
                          </pic:cNvPicPr>
                        </pic:nvPicPr>
                        <pic:blipFill>
                          <a:blip r:embed="rId42"/>
                          <a:stretch>
                            <a:fillRect/>
                          </a:stretch>
                        </pic:blipFill>
                        <pic:spPr>
                          <a:xfrm>
                            <a:off x="0" y="0"/>
                            <a:ext cx="2672715" cy="1011555"/>
                          </a:xfrm>
                          <a:prstGeom prst="rect">
                            <a:avLst/>
                          </a:prstGeom>
                        </pic:spPr>
                      </pic:pic>
                    </a:graphicData>
                  </a:graphic>
                </wp:inline>
              </w:drawing>
            </w:r>
          </w:p>
        </w:tc>
        <w:tc>
          <w:tcPr>
            <w:tcW w:w="2939" w:type="dxa"/>
            <w:vMerge w:val="restart"/>
          </w:tcPr>
          <w:p w14:paraId="59F5E018">
            <w:pPr>
              <w:rPr>
                <w:rFonts w:hint="eastAsia" w:ascii="宋体" w:hAnsi="宋体"/>
                <w:sz w:val="18"/>
                <w:szCs w:val="18"/>
              </w:rPr>
            </w:pPr>
          </w:p>
        </w:tc>
      </w:tr>
      <w:tr w14:paraId="3AE0C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16" w:type="dxa"/>
            <w:vMerge w:val="continue"/>
            <w:vAlign w:val="center"/>
          </w:tcPr>
          <w:p w14:paraId="2A5A7F47">
            <w:pPr>
              <w:rPr>
                <w:rFonts w:hint="eastAsia" w:ascii="宋体" w:hAnsi="宋体"/>
                <w:sz w:val="18"/>
                <w:szCs w:val="18"/>
              </w:rPr>
            </w:pPr>
          </w:p>
        </w:tc>
        <w:tc>
          <w:tcPr>
            <w:tcW w:w="1183" w:type="dxa"/>
            <w:vMerge w:val="continue"/>
            <w:vAlign w:val="center"/>
          </w:tcPr>
          <w:p w14:paraId="6CD18967">
            <w:pPr>
              <w:spacing w:line="240" w:lineRule="auto"/>
              <w:rPr>
                <w:rFonts w:hint="eastAsia" w:ascii="宋体" w:hAnsi="宋体"/>
                <w:sz w:val="18"/>
                <w:szCs w:val="18"/>
              </w:rPr>
            </w:pPr>
          </w:p>
        </w:tc>
        <w:tc>
          <w:tcPr>
            <w:tcW w:w="4516" w:type="dxa"/>
            <w:vAlign w:val="center"/>
          </w:tcPr>
          <w:p w14:paraId="3D91209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496820" cy="1042035"/>
                  <wp:effectExtent l="0" t="0" r="635" b="0"/>
                  <wp:docPr id="3705729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572901" name="图片 1"/>
                          <pic:cNvPicPr>
                            <a:picLocks noChangeAspect="1"/>
                          </pic:cNvPicPr>
                        </pic:nvPicPr>
                        <pic:blipFill>
                          <a:blip r:embed="rId43"/>
                          <a:stretch>
                            <a:fillRect/>
                          </a:stretch>
                        </pic:blipFill>
                        <pic:spPr>
                          <a:xfrm>
                            <a:off x="0" y="0"/>
                            <a:ext cx="2496820" cy="1042035"/>
                          </a:xfrm>
                          <a:prstGeom prst="rect">
                            <a:avLst/>
                          </a:prstGeom>
                        </pic:spPr>
                      </pic:pic>
                    </a:graphicData>
                  </a:graphic>
                </wp:inline>
              </w:drawing>
            </w:r>
          </w:p>
        </w:tc>
        <w:tc>
          <w:tcPr>
            <w:tcW w:w="2939" w:type="dxa"/>
            <w:vMerge w:val="continue"/>
          </w:tcPr>
          <w:p w14:paraId="039D0BF8">
            <w:pPr>
              <w:rPr>
                <w:rFonts w:hint="eastAsia" w:ascii="宋体" w:hAnsi="宋体"/>
                <w:sz w:val="18"/>
                <w:szCs w:val="18"/>
              </w:rPr>
            </w:pPr>
          </w:p>
        </w:tc>
      </w:tr>
      <w:tr w14:paraId="333D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716" w:type="dxa"/>
            <w:vMerge w:val="continue"/>
            <w:vAlign w:val="center"/>
          </w:tcPr>
          <w:p w14:paraId="5D94D491">
            <w:pPr>
              <w:rPr>
                <w:rFonts w:hint="eastAsia" w:ascii="宋体" w:hAnsi="宋体"/>
                <w:sz w:val="18"/>
                <w:szCs w:val="18"/>
              </w:rPr>
            </w:pPr>
          </w:p>
        </w:tc>
        <w:tc>
          <w:tcPr>
            <w:tcW w:w="1183" w:type="dxa"/>
            <w:vMerge w:val="continue"/>
            <w:vAlign w:val="center"/>
          </w:tcPr>
          <w:p w14:paraId="31AB9DFC">
            <w:pPr>
              <w:spacing w:line="240" w:lineRule="auto"/>
              <w:rPr>
                <w:rFonts w:hint="eastAsia" w:ascii="宋体" w:hAnsi="宋体"/>
                <w:sz w:val="18"/>
                <w:szCs w:val="18"/>
              </w:rPr>
            </w:pPr>
          </w:p>
        </w:tc>
        <w:tc>
          <w:tcPr>
            <w:tcW w:w="4516" w:type="dxa"/>
            <w:vAlign w:val="center"/>
          </w:tcPr>
          <w:p w14:paraId="1FD8A83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604770" cy="1060450"/>
                  <wp:effectExtent l="0" t="0" r="5080" b="6350"/>
                  <wp:docPr id="16295428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542845" name="图片 1"/>
                          <pic:cNvPicPr>
                            <a:picLocks noChangeAspect="1"/>
                          </pic:cNvPicPr>
                        </pic:nvPicPr>
                        <pic:blipFill>
                          <a:blip r:embed="rId44"/>
                          <a:srcRect r="1740"/>
                          <a:stretch>
                            <a:fillRect/>
                          </a:stretch>
                        </pic:blipFill>
                        <pic:spPr>
                          <a:xfrm>
                            <a:off x="0" y="0"/>
                            <a:ext cx="2604770" cy="1060450"/>
                          </a:xfrm>
                          <a:prstGeom prst="rect">
                            <a:avLst/>
                          </a:prstGeom>
                          <a:ln>
                            <a:noFill/>
                          </a:ln>
                        </pic:spPr>
                      </pic:pic>
                    </a:graphicData>
                  </a:graphic>
                </wp:inline>
              </w:drawing>
            </w:r>
          </w:p>
        </w:tc>
        <w:tc>
          <w:tcPr>
            <w:tcW w:w="2939" w:type="dxa"/>
            <w:vMerge w:val="continue"/>
          </w:tcPr>
          <w:p w14:paraId="55B8F288">
            <w:pPr>
              <w:rPr>
                <w:rFonts w:hint="eastAsia" w:ascii="宋体" w:hAnsi="宋体"/>
                <w:sz w:val="18"/>
                <w:szCs w:val="18"/>
              </w:rPr>
            </w:pPr>
          </w:p>
        </w:tc>
      </w:tr>
      <w:tr w14:paraId="2E8C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716" w:type="dxa"/>
            <w:vMerge w:val="restart"/>
            <w:vAlign w:val="center"/>
          </w:tcPr>
          <w:p w14:paraId="4E265866">
            <w:pPr>
              <w:rPr>
                <w:rFonts w:hint="eastAsia" w:ascii="宋体" w:hAnsi="宋体"/>
                <w:sz w:val="18"/>
                <w:szCs w:val="18"/>
              </w:rPr>
            </w:pPr>
            <w:r>
              <w:rPr>
                <w:rFonts w:ascii="宋体" w:hAnsi="宋体"/>
                <w:sz w:val="18"/>
                <w:szCs w:val="18"/>
              </w:rPr>
              <w:t>5</w:t>
            </w:r>
          </w:p>
        </w:tc>
        <w:tc>
          <w:tcPr>
            <w:tcW w:w="1183" w:type="dxa"/>
            <w:vMerge w:val="restart"/>
            <w:vAlign w:val="center"/>
          </w:tcPr>
          <w:p w14:paraId="301A2B61">
            <w:pPr>
              <w:spacing w:line="240" w:lineRule="auto"/>
              <w:jc w:val="left"/>
              <w:rPr>
                <w:rFonts w:hint="eastAsia" w:ascii="宋体" w:hAnsi="宋体"/>
                <w:sz w:val="18"/>
                <w:szCs w:val="18"/>
              </w:rPr>
            </w:pPr>
            <w:r>
              <w:rPr>
                <w:rFonts w:ascii="宋体" w:hAnsi="宋体"/>
                <w:sz w:val="18"/>
                <w:szCs w:val="18"/>
              </w:rPr>
              <w:t>纵向刚性试验</w:t>
            </w:r>
          </w:p>
        </w:tc>
        <w:tc>
          <w:tcPr>
            <w:tcW w:w="7455" w:type="dxa"/>
            <w:gridSpan w:val="2"/>
            <w:vAlign w:val="center"/>
          </w:tcPr>
          <w:p w14:paraId="76FEF869">
            <w:pPr>
              <w:rPr>
                <w:rFonts w:hint="eastAsia" w:ascii="宋体" w:hAnsi="宋体"/>
                <w:sz w:val="18"/>
                <w:szCs w:val="18"/>
              </w:rPr>
            </w:pPr>
            <w:r>
              <w:rPr>
                <w:rFonts w:hint="eastAsia" w:ascii="宋体" w:hAnsi="宋体"/>
                <w:sz w:val="18"/>
                <w:szCs w:val="18"/>
              </w:rPr>
              <w:t>施加推力</w:t>
            </w:r>
            <w:bookmarkStart w:id="96" w:name="_GoBack"/>
            <w:bookmarkEnd w:id="96"/>
          </w:p>
        </w:tc>
      </w:tr>
      <w:tr w14:paraId="01FA7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8" w:hRule="atLeast"/>
        </w:trPr>
        <w:tc>
          <w:tcPr>
            <w:tcW w:w="716" w:type="dxa"/>
            <w:vMerge w:val="continue"/>
            <w:vAlign w:val="center"/>
          </w:tcPr>
          <w:p w14:paraId="680696C1">
            <w:pPr>
              <w:rPr>
                <w:rFonts w:hint="eastAsia" w:ascii="宋体" w:hAnsi="宋体"/>
                <w:sz w:val="18"/>
                <w:szCs w:val="18"/>
              </w:rPr>
            </w:pPr>
          </w:p>
        </w:tc>
        <w:tc>
          <w:tcPr>
            <w:tcW w:w="1183" w:type="dxa"/>
            <w:vMerge w:val="continue"/>
            <w:vAlign w:val="center"/>
          </w:tcPr>
          <w:p w14:paraId="5FD25BB4">
            <w:pPr>
              <w:spacing w:line="240" w:lineRule="auto"/>
              <w:rPr>
                <w:rFonts w:hint="eastAsia" w:ascii="宋体" w:hAnsi="宋体"/>
                <w:sz w:val="18"/>
                <w:szCs w:val="18"/>
              </w:rPr>
            </w:pPr>
          </w:p>
        </w:tc>
        <w:tc>
          <w:tcPr>
            <w:tcW w:w="4516" w:type="dxa"/>
            <w:vAlign w:val="center"/>
          </w:tcPr>
          <w:p w14:paraId="2414F05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493010" cy="1066165"/>
                  <wp:effectExtent l="0" t="0" r="2540" b="635"/>
                  <wp:docPr id="4852766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76624" name="图片 1"/>
                          <pic:cNvPicPr>
                            <a:picLocks noChangeAspect="1"/>
                          </pic:cNvPicPr>
                        </pic:nvPicPr>
                        <pic:blipFill>
                          <a:blip r:embed="rId45"/>
                          <a:stretch>
                            <a:fillRect/>
                          </a:stretch>
                        </pic:blipFill>
                        <pic:spPr>
                          <a:xfrm>
                            <a:off x="0" y="0"/>
                            <a:ext cx="2493010" cy="1066165"/>
                          </a:xfrm>
                          <a:prstGeom prst="rect">
                            <a:avLst/>
                          </a:prstGeom>
                        </pic:spPr>
                      </pic:pic>
                    </a:graphicData>
                  </a:graphic>
                </wp:inline>
              </w:drawing>
            </w:r>
          </w:p>
        </w:tc>
        <w:tc>
          <w:tcPr>
            <w:tcW w:w="2939" w:type="dxa"/>
            <w:vAlign w:val="center"/>
          </w:tcPr>
          <w:p w14:paraId="52542AC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536065" cy="869950"/>
                  <wp:effectExtent l="0" t="0" r="6985" b="6350"/>
                  <wp:docPr id="14048932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93278" name="图片 1"/>
                          <pic:cNvPicPr>
                            <a:picLocks noChangeAspect="1"/>
                          </pic:cNvPicPr>
                        </pic:nvPicPr>
                        <pic:blipFill>
                          <a:blip r:embed="rId46"/>
                          <a:stretch>
                            <a:fillRect/>
                          </a:stretch>
                        </pic:blipFill>
                        <pic:spPr>
                          <a:xfrm>
                            <a:off x="0" y="0"/>
                            <a:ext cx="1536065" cy="869950"/>
                          </a:xfrm>
                          <a:prstGeom prst="rect">
                            <a:avLst/>
                          </a:prstGeom>
                        </pic:spPr>
                      </pic:pic>
                    </a:graphicData>
                  </a:graphic>
                </wp:inline>
              </w:drawing>
            </w:r>
          </w:p>
        </w:tc>
      </w:tr>
      <w:tr w14:paraId="2905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716" w:type="dxa"/>
            <w:vMerge w:val="continue"/>
            <w:vAlign w:val="center"/>
          </w:tcPr>
          <w:p w14:paraId="01FFA4E0">
            <w:pPr>
              <w:rPr>
                <w:rFonts w:hint="eastAsia" w:ascii="宋体" w:hAnsi="宋体"/>
                <w:sz w:val="18"/>
                <w:szCs w:val="18"/>
              </w:rPr>
            </w:pPr>
          </w:p>
        </w:tc>
        <w:tc>
          <w:tcPr>
            <w:tcW w:w="1183" w:type="dxa"/>
            <w:vMerge w:val="continue"/>
            <w:vAlign w:val="center"/>
          </w:tcPr>
          <w:p w14:paraId="4764E73D">
            <w:pPr>
              <w:spacing w:line="240" w:lineRule="auto"/>
              <w:rPr>
                <w:rFonts w:hint="eastAsia" w:ascii="宋体" w:hAnsi="宋体"/>
                <w:sz w:val="18"/>
                <w:szCs w:val="18"/>
              </w:rPr>
            </w:pPr>
          </w:p>
        </w:tc>
        <w:tc>
          <w:tcPr>
            <w:tcW w:w="4516" w:type="dxa"/>
            <w:vAlign w:val="center"/>
          </w:tcPr>
          <w:p w14:paraId="0507F30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511425" cy="1056640"/>
                  <wp:effectExtent l="0" t="0" r="1905" b="0"/>
                  <wp:docPr id="12986201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620199" name="图片 1"/>
                          <pic:cNvPicPr>
                            <a:picLocks noChangeAspect="1"/>
                          </pic:cNvPicPr>
                        </pic:nvPicPr>
                        <pic:blipFill>
                          <a:blip r:embed="rId47"/>
                          <a:stretch>
                            <a:fillRect/>
                          </a:stretch>
                        </pic:blipFill>
                        <pic:spPr>
                          <a:xfrm>
                            <a:off x="0" y="0"/>
                            <a:ext cx="2511425" cy="1056640"/>
                          </a:xfrm>
                          <a:prstGeom prst="rect">
                            <a:avLst/>
                          </a:prstGeom>
                        </pic:spPr>
                      </pic:pic>
                    </a:graphicData>
                  </a:graphic>
                </wp:inline>
              </w:drawing>
            </w:r>
          </w:p>
        </w:tc>
        <w:tc>
          <w:tcPr>
            <w:tcW w:w="2939" w:type="dxa"/>
            <w:vAlign w:val="center"/>
          </w:tcPr>
          <w:p w14:paraId="1D03775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705610" cy="1013460"/>
                  <wp:effectExtent l="0" t="0" r="8890" b="0"/>
                  <wp:docPr id="12248381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838192" name="图片 1"/>
                          <pic:cNvPicPr>
                            <a:picLocks noChangeAspect="1"/>
                          </pic:cNvPicPr>
                        </pic:nvPicPr>
                        <pic:blipFill>
                          <a:blip r:embed="rId48"/>
                          <a:stretch>
                            <a:fillRect/>
                          </a:stretch>
                        </pic:blipFill>
                        <pic:spPr>
                          <a:xfrm>
                            <a:off x="0" y="0"/>
                            <a:ext cx="1705610" cy="1013460"/>
                          </a:xfrm>
                          <a:prstGeom prst="rect">
                            <a:avLst/>
                          </a:prstGeom>
                        </pic:spPr>
                      </pic:pic>
                    </a:graphicData>
                  </a:graphic>
                </wp:inline>
              </w:drawing>
            </w:r>
          </w:p>
        </w:tc>
      </w:tr>
      <w:tr w14:paraId="4AEC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716" w:type="dxa"/>
            <w:vMerge w:val="continue"/>
            <w:vAlign w:val="center"/>
          </w:tcPr>
          <w:p w14:paraId="656CCAE7">
            <w:pPr>
              <w:rPr>
                <w:rFonts w:hint="eastAsia" w:ascii="宋体" w:hAnsi="宋体"/>
                <w:sz w:val="18"/>
                <w:szCs w:val="18"/>
              </w:rPr>
            </w:pPr>
          </w:p>
        </w:tc>
        <w:tc>
          <w:tcPr>
            <w:tcW w:w="1183" w:type="dxa"/>
            <w:vMerge w:val="continue"/>
            <w:vAlign w:val="center"/>
          </w:tcPr>
          <w:p w14:paraId="19B0E6A6">
            <w:pPr>
              <w:spacing w:line="240" w:lineRule="auto"/>
              <w:rPr>
                <w:rFonts w:hint="eastAsia" w:ascii="宋体" w:hAnsi="宋体"/>
                <w:sz w:val="18"/>
                <w:szCs w:val="18"/>
              </w:rPr>
            </w:pPr>
          </w:p>
        </w:tc>
        <w:tc>
          <w:tcPr>
            <w:tcW w:w="4516" w:type="dxa"/>
            <w:vAlign w:val="center"/>
          </w:tcPr>
          <w:p w14:paraId="328D22E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411095" cy="999490"/>
                  <wp:effectExtent l="0" t="0" r="2540" b="1270"/>
                  <wp:docPr id="7230708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070853" name="图片 1"/>
                          <pic:cNvPicPr>
                            <a:picLocks noChangeAspect="1"/>
                          </pic:cNvPicPr>
                        </pic:nvPicPr>
                        <pic:blipFill>
                          <a:blip r:embed="rId49"/>
                          <a:stretch>
                            <a:fillRect/>
                          </a:stretch>
                        </pic:blipFill>
                        <pic:spPr>
                          <a:xfrm>
                            <a:off x="0" y="0"/>
                            <a:ext cx="2411095" cy="999490"/>
                          </a:xfrm>
                          <a:prstGeom prst="rect">
                            <a:avLst/>
                          </a:prstGeom>
                        </pic:spPr>
                      </pic:pic>
                    </a:graphicData>
                  </a:graphic>
                </wp:inline>
              </w:drawing>
            </w:r>
          </w:p>
        </w:tc>
        <w:tc>
          <w:tcPr>
            <w:tcW w:w="2939" w:type="dxa"/>
            <w:vAlign w:val="center"/>
          </w:tcPr>
          <w:p w14:paraId="6B80E56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670050" cy="959485"/>
                  <wp:effectExtent l="0" t="0" r="4445" b="0"/>
                  <wp:docPr id="16257226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722637" name="图片 1"/>
                          <pic:cNvPicPr>
                            <a:picLocks noChangeAspect="1"/>
                          </pic:cNvPicPr>
                        </pic:nvPicPr>
                        <pic:blipFill>
                          <a:blip r:embed="rId50"/>
                          <a:stretch>
                            <a:fillRect/>
                          </a:stretch>
                        </pic:blipFill>
                        <pic:spPr>
                          <a:xfrm>
                            <a:off x="0" y="0"/>
                            <a:ext cx="1670050" cy="959485"/>
                          </a:xfrm>
                          <a:prstGeom prst="rect">
                            <a:avLst/>
                          </a:prstGeom>
                        </pic:spPr>
                      </pic:pic>
                    </a:graphicData>
                  </a:graphic>
                </wp:inline>
              </w:drawing>
            </w:r>
          </w:p>
        </w:tc>
      </w:tr>
      <w:tr w14:paraId="6A32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4" w:hRule="atLeast"/>
        </w:trPr>
        <w:tc>
          <w:tcPr>
            <w:tcW w:w="716" w:type="dxa"/>
            <w:vMerge w:val="continue"/>
            <w:vAlign w:val="center"/>
          </w:tcPr>
          <w:p w14:paraId="7EA3D78B">
            <w:pPr>
              <w:rPr>
                <w:rFonts w:hint="eastAsia" w:ascii="宋体" w:hAnsi="宋体"/>
                <w:sz w:val="18"/>
                <w:szCs w:val="18"/>
              </w:rPr>
            </w:pPr>
          </w:p>
        </w:tc>
        <w:tc>
          <w:tcPr>
            <w:tcW w:w="1183" w:type="dxa"/>
            <w:vMerge w:val="continue"/>
            <w:vAlign w:val="center"/>
          </w:tcPr>
          <w:p w14:paraId="6E90F983">
            <w:pPr>
              <w:spacing w:line="240" w:lineRule="auto"/>
              <w:rPr>
                <w:rFonts w:hint="eastAsia" w:ascii="宋体" w:hAnsi="宋体"/>
                <w:sz w:val="18"/>
                <w:szCs w:val="18"/>
              </w:rPr>
            </w:pPr>
          </w:p>
        </w:tc>
        <w:tc>
          <w:tcPr>
            <w:tcW w:w="7455" w:type="dxa"/>
            <w:gridSpan w:val="2"/>
            <w:vAlign w:val="center"/>
          </w:tcPr>
          <w:p w14:paraId="4AC106E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hint="eastAsia" w:ascii="宋体" w:hAnsi="宋体"/>
                <w:sz w:val="18"/>
                <w:szCs w:val="18"/>
              </w:rPr>
              <w:t>施加拉力</w:t>
            </w:r>
          </w:p>
        </w:tc>
      </w:tr>
      <w:tr w14:paraId="51E15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716" w:type="dxa"/>
            <w:vMerge w:val="continue"/>
            <w:vAlign w:val="center"/>
          </w:tcPr>
          <w:p w14:paraId="3B6B8050">
            <w:pPr>
              <w:rPr>
                <w:rFonts w:hint="eastAsia" w:ascii="宋体" w:hAnsi="宋体"/>
                <w:sz w:val="18"/>
                <w:szCs w:val="18"/>
              </w:rPr>
            </w:pPr>
          </w:p>
        </w:tc>
        <w:tc>
          <w:tcPr>
            <w:tcW w:w="1183" w:type="dxa"/>
            <w:vMerge w:val="continue"/>
            <w:vAlign w:val="center"/>
          </w:tcPr>
          <w:p w14:paraId="26264479">
            <w:pPr>
              <w:spacing w:line="240" w:lineRule="auto"/>
              <w:rPr>
                <w:rFonts w:hint="eastAsia" w:ascii="宋体" w:hAnsi="宋体"/>
                <w:sz w:val="18"/>
                <w:szCs w:val="18"/>
              </w:rPr>
            </w:pPr>
          </w:p>
        </w:tc>
        <w:tc>
          <w:tcPr>
            <w:tcW w:w="4516" w:type="dxa"/>
            <w:vAlign w:val="center"/>
          </w:tcPr>
          <w:p w14:paraId="251D8D6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603500" cy="1054100"/>
                  <wp:effectExtent l="0" t="0" r="3810" b="0"/>
                  <wp:docPr id="1461375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37502" name="图片 1"/>
                          <pic:cNvPicPr>
                            <a:picLocks noChangeAspect="1"/>
                          </pic:cNvPicPr>
                        </pic:nvPicPr>
                        <pic:blipFill>
                          <a:blip r:embed="rId51"/>
                          <a:stretch>
                            <a:fillRect/>
                          </a:stretch>
                        </pic:blipFill>
                        <pic:spPr>
                          <a:xfrm>
                            <a:off x="0" y="0"/>
                            <a:ext cx="2603500" cy="1054100"/>
                          </a:xfrm>
                          <a:prstGeom prst="rect">
                            <a:avLst/>
                          </a:prstGeom>
                        </pic:spPr>
                      </pic:pic>
                    </a:graphicData>
                  </a:graphic>
                </wp:inline>
              </w:drawing>
            </w:r>
          </w:p>
        </w:tc>
        <w:tc>
          <w:tcPr>
            <w:tcW w:w="2939" w:type="dxa"/>
            <w:vAlign w:val="center"/>
          </w:tcPr>
          <w:p w14:paraId="79C6922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692275" cy="945515"/>
                  <wp:effectExtent l="0" t="0" r="3175" b="6985"/>
                  <wp:docPr id="5483971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397124" name="图片 1"/>
                          <pic:cNvPicPr>
                            <a:picLocks noChangeAspect="1"/>
                          </pic:cNvPicPr>
                        </pic:nvPicPr>
                        <pic:blipFill>
                          <a:blip r:embed="rId52"/>
                          <a:stretch>
                            <a:fillRect/>
                          </a:stretch>
                        </pic:blipFill>
                        <pic:spPr>
                          <a:xfrm>
                            <a:off x="0" y="0"/>
                            <a:ext cx="1692275" cy="945515"/>
                          </a:xfrm>
                          <a:prstGeom prst="rect">
                            <a:avLst/>
                          </a:prstGeom>
                        </pic:spPr>
                      </pic:pic>
                    </a:graphicData>
                  </a:graphic>
                </wp:inline>
              </w:drawing>
            </w:r>
          </w:p>
        </w:tc>
      </w:tr>
      <w:tr w14:paraId="18C9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16" w:type="dxa"/>
            <w:vMerge w:val="continue"/>
            <w:vAlign w:val="center"/>
          </w:tcPr>
          <w:p w14:paraId="4C693DAA">
            <w:pPr>
              <w:rPr>
                <w:rFonts w:hint="eastAsia" w:ascii="宋体" w:hAnsi="宋体"/>
                <w:sz w:val="18"/>
                <w:szCs w:val="18"/>
              </w:rPr>
            </w:pPr>
          </w:p>
        </w:tc>
        <w:tc>
          <w:tcPr>
            <w:tcW w:w="1183" w:type="dxa"/>
            <w:vMerge w:val="continue"/>
            <w:vAlign w:val="center"/>
          </w:tcPr>
          <w:p w14:paraId="7C6F819D">
            <w:pPr>
              <w:spacing w:line="240" w:lineRule="auto"/>
              <w:rPr>
                <w:rFonts w:hint="eastAsia" w:ascii="宋体" w:hAnsi="宋体"/>
                <w:sz w:val="18"/>
                <w:szCs w:val="18"/>
              </w:rPr>
            </w:pPr>
          </w:p>
        </w:tc>
        <w:tc>
          <w:tcPr>
            <w:tcW w:w="4516" w:type="dxa"/>
            <w:vAlign w:val="center"/>
          </w:tcPr>
          <w:p w14:paraId="5CCC629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447290" cy="1047115"/>
                  <wp:effectExtent l="0" t="0" r="6985" b="0"/>
                  <wp:docPr id="11523341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334168" name="图片 1"/>
                          <pic:cNvPicPr>
                            <a:picLocks noChangeAspect="1"/>
                          </pic:cNvPicPr>
                        </pic:nvPicPr>
                        <pic:blipFill>
                          <a:blip r:embed="rId53"/>
                          <a:stretch>
                            <a:fillRect/>
                          </a:stretch>
                        </pic:blipFill>
                        <pic:spPr>
                          <a:xfrm>
                            <a:off x="0" y="0"/>
                            <a:ext cx="2447290" cy="1047115"/>
                          </a:xfrm>
                          <a:prstGeom prst="rect">
                            <a:avLst/>
                          </a:prstGeom>
                        </pic:spPr>
                      </pic:pic>
                    </a:graphicData>
                  </a:graphic>
                </wp:inline>
              </w:drawing>
            </w:r>
          </w:p>
        </w:tc>
        <w:tc>
          <w:tcPr>
            <w:tcW w:w="2939" w:type="dxa"/>
            <w:vAlign w:val="center"/>
          </w:tcPr>
          <w:p w14:paraId="27EF0CC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685290" cy="957580"/>
                  <wp:effectExtent l="0" t="0" r="0" b="0"/>
                  <wp:docPr id="19077913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791370" name="图片 1"/>
                          <pic:cNvPicPr>
                            <a:picLocks noChangeAspect="1"/>
                          </pic:cNvPicPr>
                        </pic:nvPicPr>
                        <pic:blipFill>
                          <a:blip r:embed="rId54"/>
                          <a:stretch>
                            <a:fillRect/>
                          </a:stretch>
                        </pic:blipFill>
                        <pic:spPr>
                          <a:xfrm>
                            <a:off x="0" y="0"/>
                            <a:ext cx="1685290" cy="957580"/>
                          </a:xfrm>
                          <a:prstGeom prst="rect">
                            <a:avLst/>
                          </a:prstGeom>
                        </pic:spPr>
                      </pic:pic>
                    </a:graphicData>
                  </a:graphic>
                </wp:inline>
              </w:drawing>
            </w:r>
          </w:p>
        </w:tc>
      </w:tr>
      <w:tr w14:paraId="516E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716" w:type="dxa"/>
            <w:vMerge w:val="continue"/>
            <w:vAlign w:val="center"/>
          </w:tcPr>
          <w:p w14:paraId="74795E38">
            <w:pPr>
              <w:rPr>
                <w:rFonts w:hint="eastAsia" w:ascii="宋体" w:hAnsi="宋体"/>
                <w:sz w:val="18"/>
                <w:szCs w:val="18"/>
              </w:rPr>
            </w:pPr>
          </w:p>
        </w:tc>
        <w:tc>
          <w:tcPr>
            <w:tcW w:w="1183" w:type="dxa"/>
            <w:vMerge w:val="continue"/>
            <w:vAlign w:val="center"/>
          </w:tcPr>
          <w:p w14:paraId="6F207D95">
            <w:pPr>
              <w:spacing w:line="240" w:lineRule="auto"/>
              <w:rPr>
                <w:rFonts w:hint="eastAsia" w:ascii="宋体" w:hAnsi="宋体"/>
                <w:sz w:val="18"/>
                <w:szCs w:val="18"/>
              </w:rPr>
            </w:pPr>
          </w:p>
        </w:tc>
        <w:tc>
          <w:tcPr>
            <w:tcW w:w="4516" w:type="dxa"/>
            <w:vAlign w:val="center"/>
          </w:tcPr>
          <w:p w14:paraId="4C7EA50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432050" cy="1025525"/>
                  <wp:effectExtent l="0" t="0" r="0" b="0"/>
                  <wp:docPr id="18478978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897867" name="图片 1"/>
                          <pic:cNvPicPr>
                            <a:picLocks noChangeAspect="1"/>
                          </pic:cNvPicPr>
                        </pic:nvPicPr>
                        <pic:blipFill>
                          <a:blip r:embed="rId55"/>
                          <a:stretch>
                            <a:fillRect/>
                          </a:stretch>
                        </pic:blipFill>
                        <pic:spPr>
                          <a:xfrm>
                            <a:off x="0" y="0"/>
                            <a:ext cx="2432050" cy="1025525"/>
                          </a:xfrm>
                          <a:prstGeom prst="rect">
                            <a:avLst/>
                          </a:prstGeom>
                        </pic:spPr>
                      </pic:pic>
                    </a:graphicData>
                  </a:graphic>
                </wp:inline>
              </w:drawing>
            </w:r>
          </w:p>
        </w:tc>
        <w:tc>
          <w:tcPr>
            <w:tcW w:w="2939" w:type="dxa"/>
            <w:vAlign w:val="center"/>
          </w:tcPr>
          <w:p w14:paraId="318EE18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722755" cy="951230"/>
                  <wp:effectExtent l="0" t="0" r="6350" b="6985"/>
                  <wp:docPr id="19903284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328454" name="图片 1"/>
                          <pic:cNvPicPr>
                            <a:picLocks noChangeAspect="1"/>
                          </pic:cNvPicPr>
                        </pic:nvPicPr>
                        <pic:blipFill>
                          <a:blip r:embed="rId56"/>
                          <a:stretch>
                            <a:fillRect/>
                          </a:stretch>
                        </pic:blipFill>
                        <pic:spPr>
                          <a:xfrm>
                            <a:off x="0" y="0"/>
                            <a:ext cx="1722755" cy="951230"/>
                          </a:xfrm>
                          <a:prstGeom prst="rect">
                            <a:avLst/>
                          </a:prstGeom>
                        </pic:spPr>
                      </pic:pic>
                    </a:graphicData>
                  </a:graphic>
                </wp:inline>
              </w:drawing>
            </w:r>
          </w:p>
        </w:tc>
      </w:tr>
      <w:tr w14:paraId="7F83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0" w:hRule="atLeast"/>
        </w:trPr>
        <w:tc>
          <w:tcPr>
            <w:tcW w:w="716" w:type="dxa"/>
            <w:vMerge w:val="restart"/>
            <w:vAlign w:val="center"/>
          </w:tcPr>
          <w:p w14:paraId="23513E75">
            <w:pPr>
              <w:rPr>
                <w:rFonts w:hint="eastAsia" w:ascii="宋体" w:hAnsi="宋体"/>
                <w:sz w:val="18"/>
                <w:szCs w:val="18"/>
              </w:rPr>
            </w:pPr>
            <w:r>
              <w:rPr>
                <w:rFonts w:ascii="宋体" w:hAnsi="宋体"/>
                <w:sz w:val="18"/>
                <w:szCs w:val="18"/>
              </w:rPr>
              <w:t>6</w:t>
            </w:r>
          </w:p>
        </w:tc>
        <w:tc>
          <w:tcPr>
            <w:tcW w:w="1183" w:type="dxa"/>
            <w:vMerge w:val="restart"/>
            <w:vAlign w:val="center"/>
          </w:tcPr>
          <w:p w14:paraId="7ED5D0BD">
            <w:pPr>
              <w:spacing w:line="240" w:lineRule="auto"/>
              <w:rPr>
                <w:rFonts w:hint="eastAsia" w:ascii="宋体" w:hAnsi="宋体"/>
                <w:sz w:val="18"/>
                <w:szCs w:val="18"/>
              </w:rPr>
            </w:pPr>
            <w:r>
              <w:rPr>
                <w:rFonts w:ascii="宋体" w:hAnsi="宋体"/>
                <w:sz w:val="18"/>
                <w:szCs w:val="18"/>
              </w:rPr>
              <w:t>联挂</w:t>
            </w:r>
            <w:r>
              <w:rPr>
                <w:rFonts w:hint="eastAsia" w:ascii="宋体" w:hAnsi="宋体"/>
                <w:sz w:val="18"/>
                <w:szCs w:val="18"/>
              </w:rPr>
              <w:t>单元的</w:t>
            </w:r>
            <w:r>
              <w:rPr>
                <w:rFonts w:ascii="宋体" w:hAnsi="宋体"/>
                <w:sz w:val="18"/>
                <w:szCs w:val="18"/>
              </w:rPr>
              <w:t>起吊试验</w:t>
            </w:r>
          </w:p>
        </w:tc>
        <w:tc>
          <w:tcPr>
            <w:tcW w:w="4516" w:type="dxa"/>
            <w:vAlign w:val="center"/>
          </w:tcPr>
          <w:p w14:paraId="6BB5D26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2622550" cy="1212850"/>
                  <wp:effectExtent l="0" t="0" r="0" b="7620"/>
                  <wp:docPr id="4438146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814681" name="图片 1"/>
                          <pic:cNvPicPr>
                            <a:picLocks noChangeAspect="1"/>
                          </pic:cNvPicPr>
                        </pic:nvPicPr>
                        <pic:blipFill>
                          <a:blip r:embed="rId57"/>
                          <a:stretch>
                            <a:fillRect/>
                          </a:stretch>
                        </pic:blipFill>
                        <pic:spPr>
                          <a:xfrm>
                            <a:off x="0" y="0"/>
                            <a:ext cx="2622550" cy="1212850"/>
                          </a:xfrm>
                          <a:prstGeom prst="rect">
                            <a:avLst/>
                          </a:prstGeom>
                        </pic:spPr>
                      </pic:pic>
                    </a:graphicData>
                  </a:graphic>
                </wp:inline>
              </w:drawing>
            </w:r>
          </w:p>
        </w:tc>
        <w:tc>
          <w:tcPr>
            <w:tcW w:w="2939" w:type="dxa"/>
            <w:vAlign w:val="center"/>
          </w:tcPr>
          <w:p w14:paraId="3954A67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sz w:val="18"/>
                <w:szCs w:val="18"/>
              </w:rPr>
            </w:pPr>
            <w:r>
              <w:rPr>
                <w:rFonts w:ascii="宋体" w:hAnsi="宋体"/>
                <w:sz w:val="18"/>
                <w:szCs w:val="18"/>
              </w:rPr>
              <w:drawing>
                <wp:inline distT="0" distB="0" distL="0" distR="0">
                  <wp:extent cx="1646555" cy="1090930"/>
                  <wp:effectExtent l="0" t="0" r="0" b="0"/>
                  <wp:docPr id="15937400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740090" name="图片 1"/>
                          <pic:cNvPicPr>
                            <a:picLocks noChangeAspect="1"/>
                          </pic:cNvPicPr>
                        </pic:nvPicPr>
                        <pic:blipFill>
                          <a:blip r:embed="rId58"/>
                          <a:stretch>
                            <a:fillRect/>
                          </a:stretch>
                        </pic:blipFill>
                        <pic:spPr>
                          <a:xfrm>
                            <a:off x="0" y="0"/>
                            <a:ext cx="1646555" cy="1090930"/>
                          </a:xfrm>
                          <a:prstGeom prst="rect">
                            <a:avLst/>
                          </a:prstGeom>
                        </pic:spPr>
                      </pic:pic>
                    </a:graphicData>
                  </a:graphic>
                </wp:inline>
              </w:drawing>
            </w:r>
          </w:p>
        </w:tc>
      </w:tr>
      <w:tr w14:paraId="577C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716" w:type="dxa"/>
            <w:vMerge w:val="continue"/>
            <w:vAlign w:val="center"/>
          </w:tcPr>
          <w:p w14:paraId="7AD2AF11">
            <w:pPr>
              <w:rPr>
                <w:rFonts w:hint="eastAsia" w:ascii="宋体" w:hAnsi="宋体"/>
                <w:sz w:val="18"/>
                <w:szCs w:val="18"/>
              </w:rPr>
            </w:pPr>
          </w:p>
        </w:tc>
        <w:tc>
          <w:tcPr>
            <w:tcW w:w="1183" w:type="dxa"/>
            <w:vMerge w:val="continue"/>
            <w:vAlign w:val="center"/>
          </w:tcPr>
          <w:p w14:paraId="7F93152F">
            <w:pPr>
              <w:spacing w:line="240" w:lineRule="auto"/>
              <w:rPr>
                <w:rFonts w:hint="eastAsia" w:ascii="宋体" w:hAnsi="宋体"/>
                <w:sz w:val="18"/>
                <w:szCs w:val="18"/>
              </w:rPr>
            </w:pPr>
          </w:p>
        </w:tc>
        <w:tc>
          <w:tcPr>
            <w:tcW w:w="7455" w:type="dxa"/>
            <w:gridSpan w:val="2"/>
            <w:vAlign w:val="center"/>
          </w:tcPr>
          <w:p w14:paraId="48A0AF93">
            <w:pPr>
              <w:rPr>
                <w:rFonts w:hint="eastAsia" w:ascii="宋体" w:hAnsi="宋体"/>
                <w:sz w:val="18"/>
                <w:szCs w:val="18"/>
              </w:rPr>
            </w:pPr>
            <m:oMathPara>
              <m:oMath>
                <m:r>
                  <m:rPr/>
                  <w:rPr>
                    <w:rFonts w:ascii="Cambria Math" w:hAnsi="Cambria Math"/>
                    <w:sz w:val="18"/>
                    <w:szCs w:val="18"/>
                  </w:rPr>
                  <m:t>F6=</m:t>
                </m:r>
                <m:f>
                  <m:fPr>
                    <m:ctrlPr>
                      <w:rPr>
                        <w:rFonts w:ascii="Cambria Math" w:hAnsi="Cambria Math"/>
                        <w:i/>
                        <w:sz w:val="18"/>
                        <w:szCs w:val="18"/>
                      </w:rPr>
                    </m:ctrlPr>
                  </m:fPr>
                  <m:num>
                    <m:d>
                      <m:dPr>
                        <m:ctrlPr>
                          <w:rPr>
                            <w:rFonts w:ascii="Cambria Math" w:hAnsi="Cambria Math"/>
                            <w:i/>
                            <w:sz w:val="18"/>
                            <w:szCs w:val="18"/>
                          </w:rPr>
                        </m:ctrlPr>
                      </m:dPr>
                      <m:e>
                        <m:sSub>
                          <m:sSubPr>
                            <m:ctrlPr>
                              <w:rPr>
                                <w:rFonts w:ascii="Cambria Math" w:hAnsi="Cambria Math"/>
                                <w:i/>
                                <w:sz w:val="18"/>
                                <w:szCs w:val="18"/>
                              </w:rPr>
                            </m:ctrlPr>
                          </m:sSubPr>
                          <m:e>
                            <m:r>
                              <m:rPr/>
                              <w:rPr>
                                <w:rFonts w:ascii="Cambria Math" w:hAnsi="Cambria Math"/>
                                <w:sz w:val="18"/>
                                <w:szCs w:val="18"/>
                              </w:rPr>
                              <m:t>n</m:t>
                            </m:r>
                            <m:ctrlPr>
                              <w:rPr>
                                <w:rFonts w:ascii="Cambria Math" w:hAnsi="Cambria Math"/>
                                <w:i/>
                                <w:sz w:val="18"/>
                                <w:szCs w:val="18"/>
                              </w:rPr>
                            </m:ctrlPr>
                          </m:e>
                          <m:sub>
                            <m:r>
                              <m:rPr/>
                              <w:rPr>
                                <w:rFonts w:ascii="Cambria Math" w:hAnsi="Cambria Math"/>
                                <w:sz w:val="18"/>
                                <w:szCs w:val="18"/>
                              </w:rPr>
                              <m:t>1</m:t>
                            </m:r>
                            <m:ctrlPr>
                              <w:rPr>
                                <w:rFonts w:ascii="Cambria Math" w:hAnsi="Cambria Math"/>
                                <w:i/>
                                <w:sz w:val="18"/>
                                <w:szCs w:val="18"/>
                              </w:rPr>
                            </m:ctrlPr>
                          </m:sub>
                        </m:sSub>
                        <m:r>
                          <m:rPr/>
                          <w:rPr>
                            <w:rFonts w:ascii="Cambria Math" w:hAnsi="Cambria Math"/>
                            <w:sz w:val="18"/>
                            <w:szCs w:val="18"/>
                          </w:rPr>
                          <m:t>−1</m:t>
                        </m:r>
                        <m:ctrlPr>
                          <w:rPr>
                            <w:rFonts w:ascii="Cambria Math" w:hAnsi="Cambria Math"/>
                            <w:i/>
                            <w:sz w:val="18"/>
                            <w:szCs w:val="18"/>
                          </w:rPr>
                        </m:ctrlPr>
                      </m:e>
                    </m:d>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Z</m:t>
                        </m:r>
                        <m:ctrlPr>
                          <w:rPr>
                            <w:rFonts w:ascii="Cambria Math" w:hAnsi="Cambria Math"/>
                            <w:i/>
                            <w:sz w:val="18"/>
                            <w:szCs w:val="18"/>
                          </w:rPr>
                        </m:ctrlPr>
                      </m:sub>
                    </m:sSub>
                    <m:ctrlPr>
                      <w:rPr>
                        <w:rFonts w:ascii="Cambria Math" w:hAnsi="Cambria Math"/>
                        <w:i/>
                        <w:sz w:val="18"/>
                        <w:szCs w:val="18"/>
                      </w:rPr>
                    </m:ctrlPr>
                  </m:num>
                  <m:den>
                    <m:r>
                      <m:rPr/>
                      <w:rPr>
                        <w:rFonts w:ascii="Cambria Math" w:hAnsi="Cambria Math"/>
                        <w:sz w:val="18"/>
                        <w:szCs w:val="18"/>
                      </w:rPr>
                      <m:t>2</m:t>
                    </m:r>
                    <m:ctrlPr>
                      <w:rPr>
                        <w:rFonts w:ascii="Cambria Math" w:hAnsi="Cambria Math"/>
                        <w:i/>
                        <w:sz w:val="18"/>
                        <w:szCs w:val="18"/>
                      </w:rPr>
                    </m:ctrlPr>
                  </m:den>
                </m:f>
                <m:r>
                  <m:rPr/>
                  <w:rPr>
                    <w:rFonts w:ascii="Cambria Math" w:hAnsi="Cambria Math"/>
                    <w:sz w:val="18"/>
                    <w:szCs w:val="18"/>
                  </w:rPr>
                  <m:t xml:space="preserve"> KN</m:t>
                </m:r>
              </m:oMath>
            </m:oMathPara>
          </w:p>
        </w:tc>
      </w:tr>
      <w:tr w14:paraId="61D0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9354" w:type="dxa"/>
            <w:gridSpan w:val="4"/>
            <w:vAlign w:val="center"/>
          </w:tcPr>
          <w:p w14:paraId="19D2B876">
            <w:pPr>
              <w:spacing w:line="240" w:lineRule="auto"/>
              <w:rPr>
                <w:rFonts w:hint="eastAsia" w:ascii="宋体" w:hAnsi="宋体" w:eastAsia="宋体" w:cs="宋体"/>
                <w:sz w:val="18"/>
                <w:szCs w:val="18"/>
              </w:rPr>
            </w:pPr>
            <w:r>
              <w:rPr>
                <w:rFonts w:hint="eastAsia" w:ascii="宋体" w:hAnsi="宋体" w:eastAsia="宋体" w:cs="宋体"/>
                <w:sz w:val="18"/>
                <w:szCs w:val="18"/>
                <w:lang w:val="en-US" w:eastAsia="zh-CN"/>
              </w:rPr>
              <w:t>注：</w:t>
            </w:r>
          </w:p>
          <w:p w14:paraId="62802A91">
            <w:pPr>
              <w:spacing w:line="240" w:lineRule="auto"/>
              <w:rPr>
                <w:rFonts w:hint="eastAsia" w:ascii="宋体" w:hAnsi="宋体" w:eastAsia="宋体" w:cs="宋体"/>
                <w:sz w:val="18"/>
                <w:szCs w:val="18"/>
              </w:rPr>
            </w:pPr>
            <w:r>
              <w:rPr>
                <w:rFonts w:hint="eastAsia" w:ascii="宋体" w:hAnsi="宋体" w:eastAsia="宋体" w:cs="宋体"/>
                <w:sz w:val="18"/>
                <w:szCs w:val="18"/>
              </w:rPr>
              <w:t>n ——转换平台式集装箱上部单个箱位所允许运输的系列2集装箱的数量；</w:t>
            </w:r>
          </w:p>
          <w:p w14:paraId="2140556D">
            <w:pPr>
              <w:spacing w:line="240" w:lineRule="auto"/>
              <w:rPr>
                <w:rFonts w:hint="eastAsia" w:ascii="宋体" w:hAnsi="宋体" w:eastAsia="宋体" w:cs="宋体"/>
                <w:sz w:val="18"/>
                <w:szCs w:val="18"/>
              </w:rPr>
            </w:pPr>
            <w:r>
              <w:rPr>
                <w:rFonts w:hint="eastAsia" w:ascii="宋体" w:hAnsi="宋体" w:eastAsia="宋体" w:cs="宋体"/>
                <w:sz w:val="18"/>
                <w:szCs w:val="18"/>
              </w:rPr>
              <w:t>n1 ——连挂成组转换平台式集装箱的数量；</w:t>
            </w:r>
          </w:p>
          <w:p w14:paraId="5BD7CBF4">
            <w:pPr>
              <w:spacing w:line="240" w:lineRule="auto"/>
              <w:rPr>
                <w:rFonts w:hint="eastAsia" w:ascii="宋体" w:hAnsi="宋体" w:eastAsia="宋体" w:cs="宋体"/>
                <w:sz w:val="18"/>
                <w:szCs w:val="18"/>
              </w:rPr>
            </w:pPr>
            <w:r>
              <w:rPr>
                <w:rFonts w:hint="eastAsia" w:ascii="宋体" w:hAnsi="宋体" w:eastAsia="宋体" w:cs="宋体"/>
                <w:sz w:val="18"/>
                <w:szCs w:val="18"/>
              </w:rPr>
              <w:t>N1 ——转换平台式集装箱上部箱位数量，箱位数量可为小数，如3.5个；</w:t>
            </w:r>
          </w:p>
          <w:p w14:paraId="6E056695">
            <w:pPr>
              <w:spacing w:line="240" w:lineRule="auto"/>
              <w:rPr>
                <w:rFonts w:hint="eastAsia" w:ascii="宋体" w:hAnsi="宋体" w:eastAsia="宋体" w:cs="宋体"/>
                <w:sz w:val="18"/>
                <w:szCs w:val="18"/>
              </w:rPr>
            </w:pPr>
            <w:r>
              <w:rPr>
                <w:rFonts w:hint="eastAsia" w:ascii="宋体" w:hAnsi="宋体" w:eastAsia="宋体" w:cs="宋体"/>
                <w:sz w:val="18"/>
                <w:szCs w:val="18"/>
              </w:rPr>
              <w:t>P ——集装箱净载质量，指最大营运总质量或额定质量与空箱质量的差，即P=R-T，kg；</w:t>
            </w:r>
          </w:p>
          <w:p w14:paraId="5964D111">
            <w:pPr>
              <w:spacing w:line="240" w:lineRule="auto"/>
              <w:rPr>
                <w:rFonts w:hint="eastAsia" w:ascii="宋体" w:hAnsi="宋体" w:eastAsia="宋体" w:cs="宋体"/>
                <w:sz w:val="18"/>
                <w:szCs w:val="18"/>
              </w:rPr>
            </w:pPr>
            <w:r>
              <w:rPr>
                <w:rFonts w:hint="eastAsia" w:ascii="宋体" w:hAnsi="宋体" w:eastAsia="宋体" w:cs="宋体"/>
                <w:sz w:val="18"/>
                <w:szCs w:val="18"/>
              </w:rPr>
              <w:t>P0 ——转换平台式集装箱上部单个箱位所允许运输的最大质量，指上部每个箱位上所有集装箱营运总质量之和，kg，P0最大为213360；</w:t>
            </w:r>
          </w:p>
          <w:p w14:paraId="12EE89C4">
            <w:pPr>
              <w:spacing w:line="240" w:lineRule="auto"/>
              <w:rPr>
                <w:rFonts w:hint="eastAsia" w:ascii="宋体" w:hAnsi="宋体" w:eastAsia="宋体" w:cs="宋体"/>
                <w:sz w:val="18"/>
                <w:szCs w:val="18"/>
              </w:rPr>
            </w:pPr>
            <w:r>
              <w:rPr>
                <w:rFonts w:hint="eastAsia" w:ascii="宋体" w:hAnsi="宋体" w:eastAsia="宋体" w:cs="宋体"/>
                <w:sz w:val="18"/>
                <w:szCs w:val="18"/>
              </w:rPr>
              <w:t>即：</w:t>
            </w:r>
            <m:oMath>
              <m:sSub>
                <m:sSubPr>
                  <m:ctrlPr>
                    <w:rPr>
                      <w:rFonts w:hint="eastAsia" w:ascii="Cambria Math" w:hAnsi="Cambria Math" w:eastAsia="宋体" w:cs="宋体"/>
                      <w:sz w:val="18"/>
                      <w:szCs w:val="18"/>
                    </w:rPr>
                  </m:ctrlPr>
                </m:sSubPr>
                <m:e>
                  <m:r>
                    <m:rPr>
                      <m:sty m:val="p"/>
                    </m:rPr>
                    <w:rPr>
                      <w:rFonts w:hint="default" w:ascii="Cambria Math" w:hAnsi="Cambria Math" w:eastAsia="宋体" w:cs="宋体"/>
                      <w:sz w:val="18"/>
                      <w:szCs w:val="18"/>
                    </w:rPr>
                    <m:t>P</m:t>
                  </m:r>
                  <m:ctrlPr>
                    <w:rPr>
                      <w:rFonts w:hint="eastAsia" w:ascii="Cambria Math" w:hAnsi="Cambria Math" w:eastAsia="宋体" w:cs="宋体"/>
                      <w:sz w:val="18"/>
                      <w:szCs w:val="18"/>
                    </w:rPr>
                  </m:ctrlPr>
                </m:e>
                <m:sub>
                  <m:r>
                    <m:rPr>
                      <m:sty m:val="p"/>
                    </m:rPr>
                    <w:rPr>
                      <w:rFonts w:hint="eastAsia" w:ascii="Cambria Math" w:hAnsi="Cambria Math" w:eastAsia="宋体" w:cs="宋体"/>
                      <w:sz w:val="18"/>
                      <w:szCs w:val="18"/>
                    </w:rPr>
                    <m:t>0</m:t>
                  </m:r>
                  <m:ctrlPr>
                    <w:rPr>
                      <w:rFonts w:hint="eastAsia" w:ascii="Cambria Math" w:hAnsi="Cambria Math" w:eastAsia="宋体" w:cs="宋体"/>
                      <w:sz w:val="18"/>
                      <w:szCs w:val="18"/>
                    </w:rPr>
                  </m:ctrlPr>
                </m:sub>
              </m:sSub>
              <m:r>
                <m:rPr>
                  <m:sty m:val="p"/>
                </m:rPr>
                <w:rPr>
                  <w:rFonts w:hint="default" w:ascii="Cambria Math" w:hAnsi="Cambria Math" w:eastAsia="宋体" w:cs="宋体"/>
                  <w:sz w:val="18"/>
                  <w:szCs w:val="18"/>
                </w:rPr>
                <m:t>=nR</m:t>
              </m:r>
            </m:oMath>
          </w:p>
          <w:p w14:paraId="38358BDE">
            <w:pPr>
              <w:spacing w:line="240" w:lineRule="auto"/>
              <w:rPr>
                <w:rFonts w:hint="eastAsia" w:ascii="宋体" w:hAnsi="宋体" w:eastAsia="宋体" w:cs="宋体"/>
                <w:sz w:val="18"/>
                <w:szCs w:val="18"/>
              </w:rPr>
            </w:pPr>
            <w:r>
              <w:rPr>
                <w:rFonts w:hint="eastAsia" w:ascii="宋体" w:hAnsi="宋体" w:eastAsia="宋体" w:cs="宋体"/>
                <w:sz w:val="18"/>
                <w:szCs w:val="18"/>
              </w:rPr>
              <w:t>转换平台式集装箱所允许运输的最大质量，指上部所有箱位上集装箱营运总质量之和，kg；</w:t>
            </w:r>
          </w:p>
          <w:p w14:paraId="7645D3D1">
            <w:pPr>
              <w:spacing w:line="240" w:lineRule="auto"/>
              <w:rPr>
                <w:rFonts w:hint="eastAsia" w:ascii="宋体" w:hAnsi="宋体" w:eastAsia="宋体" w:cs="宋体"/>
                <w:sz w:val="18"/>
                <w:szCs w:val="18"/>
              </w:rPr>
            </w:pPr>
            <w:r>
              <w:rPr>
                <w:rFonts w:hint="eastAsia" w:ascii="宋体" w:hAnsi="宋体" w:eastAsia="宋体" w:cs="宋体"/>
                <w:sz w:val="18"/>
                <w:szCs w:val="18"/>
              </w:rPr>
              <w:t>即：</w:t>
            </w:r>
            <m:oMath>
              <m:sSub>
                <m:sSubPr>
                  <m:ctrlPr>
                    <w:rPr>
                      <w:rFonts w:hint="eastAsia" w:ascii="Cambria Math" w:hAnsi="Cambria Math" w:eastAsia="宋体" w:cs="宋体"/>
                      <w:sz w:val="18"/>
                      <w:szCs w:val="18"/>
                    </w:rPr>
                  </m:ctrlPr>
                </m:sSubPr>
                <m:e>
                  <m:r>
                    <m:rPr>
                      <m:sty m:val="p"/>
                    </m:rPr>
                    <w:rPr>
                      <w:rFonts w:hint="default" w:ascii="Cambria Math" w:hAnsi="Cambria Math" w:eastAsia="宋体" w:cs="宋体"/>
                      <w:sz w:val="18"/>
                      <w:szCs w:val="18"/>
                    </w:rPr>
                    <m:t>P</m:t>
                  </m:r>
                  <m:ctrlPr>
                    <w:rPr>
                      <w:rFonts w:hint="eastAsia" w:ascii="Cambria Math" w:hAnsi="Cambria Math" w:eastAsia="宋体" w:cs="宋体"/>
                      <w:sz w:val="18"/>
                      <w:szCs w:val="18"/>
                    </w:rPr>
                  </m:ctrlPr>
                </m:e>
                <m:sub>
                  <m:r>
                    <m:rPr>
                      <m:sty m:val="p"/>
                    </m:rPr>
                    <w:rPr>
                      <w:rFonts w:hint="default" w:ascii="Cambria Math" w:hAnsi="Cambria Math" w:eastAsia="宋体" w:cs="宋体"/>
                      <w:sz w:val="18"/>
                      <w:szCs w:val="18"/>
                    </w:rPr>
                    <m:t>z</m:t>
                  </m:r>
                  <m:ctrlPr>
                    <w:rPr>
                      <w:rFonts w:hint="eastAsia" w:ascii="Cambria Math" w:hAnsi="Cambria Math" w:eastAsia="宋体" w:cs="宋体"/>
                      <w:sz w:val="18"/>
                      <w:szCs w:val="18"/>
                    </w:rPr>
                  </m:ctrlPr>
                </m:sub>
              </m:sSub>
              <m:r>
                <m:rPr>
                  <m:sty m:val="p"/>
                </m:rPr>
                <w:rPr>
                  <w:rFonts w:hint="eastAsia" w:ascii="Cambria Math" w:hAnsi="Cambria Math" w:eastAsia="宋体" w:cs="宋体"/>
                  <w:sz w:val="18"/>
                  <w:szCs w:val="18"/>
                </w:rPr>
                <m:t>=</m:t>
              </m:r>
              <m:sSub>
                <m:sSubPr>
                  <m:ctrlPr>
                    <w:rPr>
                      <w:rFonts w:hint="eastAsia" w:ascii="Cambria Math" w:hAnsi="Cambria Math" w:eastAsia="宋体" w:cs="宋体"/>
                      <w:sz w:val="18"/>
                      <w:szCs w:val="18"/>
                    </w:rPr>
                  </m:ctrlPr>
                </m:sSubPr>
                <m:e>
                  <m:r>
                    <m:rPr>
                      <m:sty m:val="p"/>
                    </m:rPr>
                    <w:rPr>
                      <w:rFonts w:hint="default" w:ascii="Cambria Math" w:hAnsi="Cambria Math" w:eastAsia="宋体" w:cs="宋体"/>
                      <w:sz w:val="18"/>
                      <w:szCs w:val="18"/>
                    </w:rPr>
                    <m:t>N</m:t>
                  </m:r>
                  <m:ctrlPr>
                    <w:rPr>
                      <w:rFonts w:hint="eastAsia" w:ascii="Cambria Math" w:hAnsi="Cambria Math" w:eastAsia="宋体" w:cs="宋体"/>
                      <w:sz w:val="18"/>
                      <w:szCs w:val="18"/>
                    </w:rPr>
                  </m:ctrlPr>
                </m:e>
                <m:sub>
                  <m:r>
                    <m:rPr>
                      <m:sty m:val="p"/>
                    </m:rPr>
                    <w:rPr>
                      <w:rFonts w:hint="eastAsia" w:ascii="Cambria Math" w:hAnsi="Cambria Math" w:eastAsia="宋体" w:cs="宋体"/>
                      <w:sz w:val="18"/>
                      <w:szCs w:val="18"/>
                    </w:rPr>
                    <m:t>1</m:t>
                  </m:r>
                  <m:ctrlPr>
                    <w:rPr>
                      <w:rFonts w:hint="eastAsia" w:ascii="Cambria Math" w:hAnsi="Cambria Math" w:eastAsia="宋体" w:cs="宋体"/>
                      <w:sz w:val="18"/>
                      <w:szCs w:val="18"/>
                    </w:rPr>
                  </m:ctrlPr>
                </m:sub>
              </m:sSub>
              <m:sSub>
                <m:sSubPr>
                  <m:ctrlPr>
                    <w:rPr>
                      <w:rFonts w:hint="eastAsia" w:ascii="Cambria Math" w:hAnsi="Cambria Math" w:eastAsia="宋体" w:cs="宋体"/>
                      <w:sz w:val="18"/>
                      <w:szCs w:val="18"/>
                    </w:rPr>
                  </m:ctrlPr>
                </m:sSubPr>
                <m:e>
                  <m:r>
                    <m:rPr>
                      <m:sty m:val="p"/>
                    </m:rPr>
                    <w:rPr>
                      <w:rFonts w:hint="default" w:ascii="Cambria Math" w:hAnsi="Cambria Math" w:eastAsia="宋体" w:cs="宋体"/>
                      <w:sz w:val="18"/>
                      <w:szCs w:val="18"/>
                    </w:rPr>
                    <m:t>P</m:t>
                  </m:r>
                  <m:ctrlPr>
                    <w:rPr>
                      <w:rFonts w:hint="eastAsia" w:ascii="Cambria Math" w:hAnsi="Cambria Math" w:eastAsia="宋体" w:cs="宋体"/>
                      <w:sz w:val="18"/>
                      <w:szCs w:val="18"/>
                    </w:rPr>
                  </m:ctrlPr>
                </m:e>
                <m:sub>
                  <m:r>
                    <m:rPr>
                      <m:sty m:val="p"/>
                    </m:rPr>
                    <w:rPr>
                      <w:rFonts w:hint="eastAsia" w:ascii="Cambria Math" w:hAnsi="Cambria Math" w:eastAsia="宋体" w:cs="宋体"/>
                      <w:sz w:val="18"/>
                      <w:szCs w:val="18"/>
                    </w:rPr>
                    <m:t>0</m:t>
                  </m:r>
                  <m:ctrlPr>
                    <w:rPr>
                      <w:rFonts w:hint="eastAsia" w:ascii="Cambria Math" w:hAnsi="Cambria Math" w:eastAsia="宋体" w:cs="宋体"/>
                      <w:sz w:val="18"/>
                      <w:szCs w:val="18"/>
                    </w:rPr>
                  </m:ctrlPr>
                </m:sub>
              </m:sSub>
            </m:oMath>
          </w:p>
          <w:p w14:paraId="61CDDA82">
            <w:pPr>
              <w:spacing w:line="240" w:lineRule="auto"/>
              <w:rPr>
                <w:rFonts w:hint="eastAsia" w:ascii="宋体" w:hAnsi="宋体" w:eastAsia="宋体" w:cs="宋体"/>
                <w:sz w:val="18"/>
                <w:szCs w:val="18"/>
              </w:rPr>
            </w:pPr>
            <w:r>
              <w:rPr>
                <w:rFonts w:hint="eastAsia" w:ascii="宋体" w:hAnsi="宋体" w:eastAsia="宋体" w:cs="宋体"/>
                <w:sz w:val="18"/>
                <w:szCs w:val="18"/>
              </w:rPr>
              <w:t>R ——集装箱最大营运总质量（又称额定质量），指集装箱和所装货物的最大的允许总质量，kg</w:t>
            </w:r>
          </w:p>
          <w:p w14:paraId="43EA6195">
            <w:pPr>
              <w:spacing w:line="240" w:lineRule="auto"/>
              <w:rPr>
                <w:rFonts w:hint="eastAsia" w:ascii="宋体" w:hAnsi="宋体" w:eastAsia="宋体" w:cs="宋体"/>
                <w:sz w:val="18"/>
                <w:szCs w:val="18"/>
              </w:rPr>
            </w:pPr>
            <w:r>
              <w:rPr>
                <w:rFonts w:hint="eastAsia" w:ascii="宋体" w:hAnsi="宋体" w:eastAsia="宋体" w:cs="宋体"/>
                <w:sz w:val="18"/>
                <w:szCs w:val="18"/>
              </w:rPr>
              <w:t>Rz ——转换平台式集装箱最大营运总质量，指转换平台式集装箱和其上所有箱位所允许运输最大质量的总和，kg</w:t>
            </w:r>
          </w:p>
          <w:p w14:paraId="6D660F73">
            <w:pPr>
              <w:spacing w:line="240" w:lineRule="auto"/>
              <w:rPr>
                <w:rFonts w:hint="eastAsia" w:ascii="宋体" w:hAnsi="宋体" w:eastAsia="宋体" w:cs="宋体"/>
                <w:sz w:val="18"/>
                <w:szCs w:val="18"/>
              </w:rPr>
            </w:pPr>
            <w:r>
              <w:rPr>
                <w:rFonts w:hint="eastAsia" w:ascii="宋体" w:hAnsi="宋体" w:eastAsia="宋体" w:cs="宋体"/>
                <w:sz w:val="18"/>
                <w:szCs w:val="18"/>
              </w:rPr>
              <w:t>即：</w:t>
            </w:r>
            <m:oMath>
              <m:sSub>
                <m:sSubPr>
                  <m:ctrlPr>
                    <w:rPr>
                      <w:rFonts w:hint="eastAsia" w:ascii="Cambria Math" w:hAnsi="Cambria Math" w:eastAsia="宋体" w:cs="宋体"/>
                      <w:sz w:val="18"/>
                      <w:szCs w:val="18"/>
                    </w:rPr>
                  </m:ctrlPr>
                </m:sSubPr>
                <m:e>
                  <m:r>
                    <m:rPr>
                      <m:sty m:val="p"/>
                    </m:rPr>
                    <w:rPr>
                      <w:rFonts w:hint="default" w:ascii="Cambria Math" w:hAnsi="Cambria Math" w:eastAsia="宋体" w:cs="宋体"/>
                      <w:sz w:val="18"/>
                      <w:szCs w:val="18"/>
                    </w:rPr>
                    <m:t>R</m:t>
                  </m:r>
                  <m:ctrlPr>
                    <w:rPr>
                      <w:rFonts w:hint="eastAsia" w:ascii="Cambria Math" w:hAnsi="Cambria Math" w:eastAsia="宋体" w:cs="宋体"/>
                      <w:sz w:val="18"/>
                      <w:szCs w:val="18"/>
                    </w:rPr>
                  </m:ctrlPr>
                </m:e>
                <m:sub>
                  <m:r>
                    <m:rPr>
                      <m:sty m:val="p"/>
                    </m:rPr>
                    <w:rPr>
                      <w:rFonts w:hint="default" w:ascii="Cambria Math" w:hAnsi="Cambria Math" w:eastAsia="宋体" w:cs="宋体"/>
                      <w:sz w:val="18"/>
                      <w:szCs w:val="18"/>
                    </w:rPr>
                    <m:t>z</m:t>
                  </m:r>
                  <m:ctrlPr>
                    <w:rPr>
                      <w:rFonts w:hint="eastAsia" w:ascii="Cambria Math" w:hAnsi="Cambria Math" w:eastAsia="宋体" w:cs="宋体"/>
                      <w:sz w:val="18"/>
                      <w:szCs w:val="18"/>
                    </w:rPr>
                  </m:ctrlPr>
                </m:sub>
              </m:sSub>
              <m:r>
                <m:rPr>
                  <m:sty m:val="p"/>
                </m:rPr>
                <w:rPr>
                  <w:rFonts w:hint="eastAsia" w:ascii="Cambria Math" w:hAnsi="Cambria Math" w:eastAsia="宋体" w:cs="宋体"/>
                  <w:sz w:val="18"/>
                  <w:szCs w:val="18"/>
                </w:rPr>
                <m:t>=</m:t>
              </m:r>
              <m:sSub>
                <m:sSubPr>
                  <m:ctrlPr>
                    <w:rPr>
                      <w:rFonts w:hint="eastAsia" w:ascii="Cambria Math" w:hAnsi="Cambria Math" w:eastAsia="宋体" w:cs="宋体"/>
                      <w:sz w:val="18"/>
                      <w:szCs w:val="18"/>
                    </w:rPr>
                  </m:ctrlPr>
                </m:sSubPr>
                <m:e>
                  <m:r>
                    <m:rPr>
                      <m:sty m:val="p"/>
                    </m:rPr>
                    <w:rPr>
                      <w:rFonts w:hint="default" w:ascii="Cambria Math" w:hAnsi="Cambria Math" w:eastAsia="宋体" w:cs="宋体"/>
                      <w:sz w:val="18"/>
                      <w:szCs w:val="18"/>
                    </w:rPr>
                    <m:t>P</m:t>
                  </m:r>
                  <m:ctrlPr>
                    <w:rPr>
                      <w:rFonts w:hint="eastAsia" w:ascii="Cambria Math" w:hAnsi="Cambria Math" w:eastAsia="宋体" w:cs="宋体"/>
                      <w:sz w:val="18"/>
                      <w:szCs w:val="18"/>
                    </w:rPr>
                  </m:ctrlPr>
                </m:e>
                <m:sub>
                  <m:r>
                    <m:rPr>
                      <m:sty m:val="p"/>
                    </m:rPr>
                    <w:rPr>
                      <w:rFonts w:hint="default" w:ascii="Cambria Math" w:hAnsi="Cambria Math" w:eastAsia="宋体" w:cs="宋体"/>
                      <w:sz w:val="18"/>
                      <w:szCs w:val="18"/>
                    </w:rPr>
                    <m:t>z</m:t>
                  </m:r>
                  <m:ctrlPr>
                    <w:rPr>
                      <w:rFonts w:hint="eastAsia" w:ascii="Cambria Math" w:hAnsi="Cambria Math" w:eastAsia="宋体" w:cs="宋体"/>
                      <w:sz w:val="18"/>
                      <w:szCs w:val="18"/>
                    </w:rPr>
                  </m:ctrlPr>
                </m:sub>
              </m:sSub>
              <m:r>
                <m:rPr>
                  <m:sty m:val="p"/>
                </m:rPr>
                <w:rPr>
                  <w:rFonts w:hint="eastAsia" w:ascii="Cambria Math" w:hAnsi="Cambria Math" w:eastAsia="宋体" w:cs="宋体"/>
                  <w:sz w:val="18"/>
                  <w:szCs w:val="18"/>
                </w:rPr>
                <m:t>+</m:t>
              </m:r>
              <m:sSub>
                <m:sSubPr>
                  <m:ctrlPr>
                    <w:rPr>
                      <w:rFonts w:hint="eastAsia" w:ascii="Cambria Math" w:hAnsi="Cambria Math" w:eastAsia="宋体" w:cs="宋体"/>
                      <w:sz w:val="18"/>
                      <w:szCs w:val="18"/>
                    </w:rPr>
                  </m:ctrlPr>
                </m:sSubPr>
                <m:e>
                  <m:r>
                    <m:rPr>
                      <m:sty m:val="p"/>
                    </m:rPr>
                    <w:rPr>
                      <w:rFonts w:hint="default" w:ascii="Cambria Math" w:hAnsi="Cambria Math" w:eastAsia="宋体" w:cs="宋体"/>
                      <w:sz w:val="18"/>
                      <w:szCs w:val="18"/>
                    </w:rPr>
                    <m:t>T</m:t>
                  </m:r>
                  <m:ctrlPr>
                    <w:rPr>
                      <w:rFonts w:hint="eastAsia" w:ascii="Cambria Math" w:hAnsi="Cambria Math" w:eastAsia="宋体" w:cs="宋体"/>
                      <w:sz w:val="18"/>
                      <w:szCs w:val="18"/>
                    </w:rPr>
                  </m:ctrlPr>
                </m:e>
                <m:sub>
                  <m:r>
                    <m:rPr>
                      <m:sty m:val="p"/>
                    </m:rPr>
                    <w:rPr>
                      <w:rFonts w:hint="default" w:ascii="Cambria Math" w:hAnsi="Cambria Math" w:eastAsia="宋体" w:cs="宋体"/>
                      <w:sz w:val="18"/>
                      <w:szCs w:val="18"/>
                    </w:rPr>
                    <m:t>z</m:t>
                  </m:r>
                  <m:ctrlPr>
                    <w:rPr>
                      <w:rFonts w:hint="eastAsia" w:ascii="Cambria Math" w:hAnsi="Cambria Math" w:eastAsia="宋体" w:cs="宋体"/>
                      <w:sz w:val="18"/>
                      <w:szCs w:val="18"/>
                    </w:rPr>
                  </m:ctrlPr>
                </m:sub>
              </m:sSub>
            </m:oMath>
          </w:p>
          <w:p w14:paraId="00689F1E">
            <w:pPr>
              <w:spacing w:line="240" w:lineRule="auto"/>
              <w:rPr>
                <w:rFonts w:hint="eastAsia" w:ascii="宋体" w:hAnsi="宋体" w:eastAsia="宋体" w:cs="宋体"/>
                <w:sz w:val="18"/>
                <w:szCs w:val="18"/>
              </w:rPr>
            </w:pPr>
            <w:r>
              <w:rPr>
                <w:rFonts w:hint="eastAsia" w:ascii="宋体" w:hAnsi="宋体" w:eastAsia="宋体" w:cs="宋体"/>
                <w:sz w:val="18"/>
                <w:szCs w:val="18"/>
              </w:rPr>
              <w:t>T ——集装箱空箱质量，指包括固定附属装置在内的空集装箱的质量，kg</w:t>
            </w:r>
          </w:p>
          <w:p w14:paraId="5B6B2649">
            <w:pPr>
              <w:spacing w:line="240" w:lineRule="auto"/>
              <w:rPr>
                <w:rFonts w:hint="eastAsia" w:ascii="宋体" w:hAnsi="宋体" w:eastAsia="宋体" w:cs="宋体"/>
                <w:sz w:val="18"/>
                <w:szCs w:val="18"/>
              </w:rPr>
            </w:pPr>
            <w:r>
              <w:rPr>
                <w:rFonts w:hint="eastAsia" w:ascii="宋体" w:hAnsi="宋体" w:eastAsia="宋体" w:cs="宋体"/>
                <w:sz w:val="18"/>
                <w:szCs w:val="18"/>
              </w:rPr>
              <w:t>Tz ——转换平台式集装箱空箱质量，指包括固定附属装置在内的空集装箱的质量，kg</w:t>
            </w:r>
          </w:p>
          <w:p w14:paraId="2E0124FD">
            <w:pPr>
              <w:spacing w:line="240" w:lineRule="auto"/>
              <w:rPr>
                <w:rFonts w:ascii="Cambria Math" w:hAnsi="Cambria Math"/>
                <w:i/>
                <w:sz w:val="18"/>
                <w:szCs w:val="18"/>
                <w:oMath/>
              </w:rPr>
            </w:pPr>
            <w:r>
              <w:rPr>
                <w:rFonts w:hint="eastAsia" w:ascii="宋体" w:hAnsi="宋体" w:eastAsia="宋体" w:cs="宋体"/>
                <w:sz w:val="18"/>
                <w:szCs w:val="18"/>
              </w:rPr>
              <w:t>注1：R、T、 P和，Rz、Tz、Pz按照定义是以质量单位千克（kg）为单位。当设计要求涉及以该值为基础的作用力载荷时，该这些力表示为：Rg、Tg和Pg，其单位为牛顿或其倍数，g取值为9.8m/s2。</w:t>
            </w:r>
          </w:p>
        </w:tc>
      </w:tr>
    </w:tbl>
    <w:p w14:paraId="6B0739DD">
      <w:pPr>
        <w:pStyle w:val="56"/>
        <w:ind w:firstLine="420"/>
      </w:pPr>
    </w:p>
    <w:p w14:paraId="5E4DF545">
      <w:pPr>
        <w:pStyle w:val="56"/>
        <w:ind w:firstLine="420"/>
      </w:pPr>
    </w:p>
    <w:p w14:paraId="25D364E9">
      <w:pPr>
        <w:pStyle w:val="56"/>
        <w:ind w:firstLine="420"/>
      </w:pPr>
    </w:p>
    <w:p w14:paraId="26159085">
      <w:pPr>
        <w:pStyle w:val="56"/>
        <w:ind w:firstLine="420"/>
      </w:pPr>
    </w:p>
    <w:bookmarkEnd w:id="85"/>
    <w:p w14:paraId="5CD2D26B">
      <w:pPr>
        <w:pStyle w:val="56"/>
        <w:ind w:firstLine="0" w:firstLineChars="0"/>
        <w:jc w:val="center"/>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UI Emoji">
    <w:panose1 w:val="020B0502040204020203"/>
    <w:charset w:val="00"/>
    <w:family w:val="swiss"/>
    <w:pitch w:val="default"/>
    <w:sig w:usb0="00000001" w:usb1="02000000" w:usb2="08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68B5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8C65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9658D">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1E5BF">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87C2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B766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0701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2EE5E">
    <w:pPr>
      <w:pStyle w:val="61"/>
      <w:rPr>
        <w:rFonts w:hint="eastAsia"/>
      </w:rPr>
    </w:pPr>
    <w:r>
      <w:fldChar w:fldCharType="begin"/>
    </w:r>
    <w:r>
      <w:instrText xml:space="preserve"> STYLEREF  标准文件_文件编号  \* MERGEFORMAT </w:instrText>
    </w:r>
    <w:r>
      <w:fldChar w:fldCharType="separate"/>
    </w:r>
    <w:r>
      <w:t>T/CPHA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CA500">
    <w:pPr>
      <w:pStyle w:val="18"/>
      <w:jc w:val="right"/>
    </w:pPr>
    <w:r>
      <w:fldChar w:fldCharType="begin"/>
    </w:r>
    <w:r>
      <w:instrText xml:space="preserve"> STYLEREF  标准文件_文件编号  \* MERGEFORMAT </w:instrText>
    </w:r>
    <w:r>
      <w:fldChar w:fldCharType="separate"/>
    </w:r>
    <w:r>
      <w:t>T/CPHA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93F460B"/>
    <w:multiLevelType w:val="multilevel"/>
    <w:tmpl w:val="193F460B"/>
    <w:lvl w:ilvl="0" w:tentative="0">
      <w:start w:val="4"/>
      <w:numFmt w:val="decimal"/>
      <w:lvlText w:val="%1."/>
      <w:lvlJc w:val="left"/>
      <w:pPr>
        <w:ind w:left="425" w:hanging="425"/>
      </w:pPr>
      <w:rPr>
        <w:rFonts w:hint="eastAsia"/>
      </w:rPr>
    </w:lvl>
    <w:lvl w:ilvl="1" w:tentative="0">
      <w:start w:val="1"/>
      <w:numFmt w:val="decimal"/>
      <w:pStyle w:val="231"/>
      <w:lvlText w:val="%1.%2."/>
      <w:lvlJc w:val="left"/>
      <w:pPr>
        <w:ind w:left="709"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1278"/>
        </w:tabs>
        <w:ind w:left="1278" w:hanging="426"/>
      </w:pPr>
      <w:rPr>
        <w:rFonts w:hint="eastAsia" w:ascii="宋体" w:hAnsi="Times New Roman" w:eastAsia="宋体"/>
        <w:b w:val="0"/>
        <w:i w:val="0"/>
        <w:sz w:val="21"/>
        <w:lang w:val="en-US"/>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2411"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1277" w:firstLine="0"/>
      </w:pPr>
      <w:rPr>
        <w:rFonts w:hint="eastAsia" w:ascii="黑体" w:eastAsia="黑体"/>
        <w:b w:val="0"/>
        <w:i w:val="0"/>
        <w:sz w:val="21"/>
      </w:rPr>
    </w:lvl>
    <w:lvl w:ilvl="2" w:tentative="0">
      <w:start w:val="1"/>
      <w:numFmt w:val="decimal"/>
      <w:pStyle w:val="105"/>
      <w:suff w:val="nothing"/>
      <w:lvlText w:val="%1%2.%3　"/>
      <w:lvlJc w:val="left"/>
      <w:pPr>
        <w:ind w:left="85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WfvAzfkcXkG6ncwNq6B8dWw+vBJ8hK/1uZdfMMusr5JPuc6/N9f0jyqZSwkUt6JkSfKiuhSvlBMPGhVjSlC6Lg==" w:salt="iIP60KwZHnoLX7ClPdnil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DC8"/>
    <w:rsid w:val="0000040A"/>
    <w:rsid w:val="00000A94"/>
    <w:rsid w:val="00001972"/>
    <w:rsid w:val="00001D9A"/>
    <w:rsid w:val="00002D44"/>
    <w:rsid w:val="00007B3A"/>
    <w:rsid w:val="000107E0"/>
    <w:rsid w:val="00011FDE"/>
    <w:rsid w:val="00012FFD"/>
    <w:rsid w:val="00014162"/>
    <w:rsid w:val="00014340"/>
    <w:rsid w:val="00016A9C"/>
    <w:rsid w:val="000206B3"/>
    <w:rsid w:val="00022184"/>
    <w:rsid w:val="00022762"/>
    <w:rsid w:val="000238E0"/>
    <w:rsid w:val="00023D60"/>
    <w:rsid w:val="000246A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018"/>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C25"/>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532"/>
    <w:rsid w:val="0041477A"/>
    <w:rsid w:val="004167A3"/>
    <w:rsid w:val="00432DAA"/>
    <w:rsid w:val="00434305"/>
    <w:rsid w:val="004358ED"/>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4F6E"/>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16F8"/>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343F"/>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68B5"/>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CB7"/>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53E"/>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DC8"/>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E3C"/>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0592"/>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4BD"/>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26027A"/>
    <w:rsid w:val="1ED435DA"/>
    <w:rsid w:val="3E32430D"/>
    <w:rsid w:val="63881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styleId="231">
    <w:name w:val="List Paragraph"/>
    <w:basedOn w:val="1"/>
    <w:qFormat/>
    <w:uiPriority w:val="34"/>
    <w:pPr>
      <w:numPr>
        <w:ilvl w:val="1"/>
        <w:numId w:val="32"/>
      </w:numPr>
      <w:adjustRightInd/>
      <w:spacing w:line="360" w:lineRule="auto"/>
      <w:ind w:firstLine="0"/>
      <w:jc w:val="left"/>
    </w:pPr>
    <w:rPr>
      <w:rFonts w:ascii="Times New Roman" w:hAnsi="Times New Roman" w:cstheme="minorBidi"/>
      <w:szCs w:val="22"/>
    </w:rPr>
  </w:style>
  <w:style w:type="paragraph" w:customStyle="1" w:styleId="232">
    <w:name w:val="注："/>
    <w:basedOn w:val="1"/>
    <w:next w:val="1"/>
    <w:link w:val="234"/>
    <w:qFormat/>
    <w:uiPriority w:val="0"/>
    <w:pPr>
      <w:adjustRightInd/>
      <w:spacing w:line="360" w:lineRule="auto"/>
      <w:ind w:left="420" w:firstLine="420" w:firstLineChars="200"/>
      <w:jc w:val="center"/>
    </w:pPr>
    <w:rPr>
      <w:rFonts w:ascii="黑体" w:hAnsi="黑体" w:eastAsia="黑体" w:cstheme="minorBidi"/>
      <w:sz w:val="18"/>
      <w:szCs w:val="22"/>
    </w:rPr>
  </w:style>
  <w:style w:type="paragraph" w:customStyle="1" w:styleId="233">
    <w:name w:val="注的内容"/>
    <w:basedOn w:val="1"/>
    <w:next w:val="1"/>
    <w:link w:val="235"/>
    <w:qFormat/>
    <w:uiPriority w:val="0"/>
    <w:pPr>
      <w:adjustRightInd/>
      <w:spacing w:line="360" w:lineRule="auto"/>
      <w:ind w:left="420" w:firstLine="360" w:firstLineChars="200"/>
      <w:jc w:val="center"/>
    </w:pPr>
    <w:rPr>
      <w:rFonts w:ascii="Times New Roman" w:hAnsi="Times New Roman" w:cstheme="minorBidi"/>
      <w:sz w:val="18"/>
      <w:szCs w:val="22"/>
    </w:rPr>
  </w:style>
  <w:style w:type="character" w:customStyle="1" w:styleId="234">
    <w:name w:val="注： 字符"/>
    <w:basedOn w:val="28"/>
    <w:link w:val="232"/>
    <w:qFormat/>
    <w:uiPriority w:val="0"/>
    <w:rPr>
      <w:rFonts w:ascii="黑体" w:hAnsi="黑体" w:eastAsia="黑体" w:cstheme="minorBidi"/>
      <w:kern w:val="2"/>
      <w:sz w:val="18"/>
      <w:szCs w:val="22"/>
    </w:rPr>
  </w:style>
  <w:style w:type="character" w:customStyle="1" w:styleId="235">
    <w:name w:val="注的内容 字符"/>
    <w:basedOn w:val="28"/>
    <w:link w:val="233"/>
    <w:qFormat/>
    <w:uiPriority w:val="0"/>
    <w:rPr>
      <w:rFonts w:ascii="Times New Roman" w:hAnsi="Times New Roman" w:cstheme="minorBidi"/>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3" Type="http://schemas.openxmlformats.org/officeDocument/2006/relationships/glossaryDocument" Target="glossary/document.xml"/><Relationship Id="rId62" Type="http://schemas.openxmlformats.org/officeDocument/2006/relationships/fontTable" Target="fontTable.xml"/><Relationship Id="rId61" Type="http://schemas.openxmlformats.org/officeDocument/2006/relationships/customXml" Target="../customXml/item2.xml"/><Relationship Id="rId60" Type="http://schemas.openxmlformats.org/officeDocument/2006/relationships/numbering" Target="numbering.xml"/><Relationship Id="rId6" Type="http://schemas.openxmlformats.org/officeDocument/2006/relationships/header" Target="header2.xml"/><Relationship Id="rId59" Type="http://schemas.openxmlformats.org/officeDocument/2006/relationships/customXml" Target="../customXml/item1.xml"/><Relationship Id="rId58" Type="http://schemas.openxmlformats.org/officeDocument/2006/relationships/image" Target="media/image44.png"/><Relationship Id="rId57" Type="http://schemas.openxmlformats.org/officeDocument/2006/relationships/image" Target="media/image43.png"/><Relationship Id="rId56" Type="http://schemas.openxmlformats.org/officeDocument/2006/relationships/image" Target="media/image42.png"/><Relationship Id="rId55" Type="http://schemas.openxmlformats.org/officeDocument/2006/relationships/image" Target="media/image41.png"/><Relationship Id="rId54" Type="http://schemas.openxmlformats.org/officeDocument/2006/relationships/image" Target="media/image40.png"/><Relationship Id="rId53" Type="http://schemas.openxmlformats.org/officeDocument/2006/relationships/image" Target="media/image39.png"/><Relationship Id="rId52" Type="http://schemas.openxmlformats.org/officeDocument/2006/relationships/image" Target="media/image38.png"/><Relationship Id="rId51" Type="http://schemas.openxmlformats.org/officeDocument/2006/relationships/image" Target="media/image37.png"/><Relationship Id="rId50" Type="http://schemas.openxmlformats.org/officeDocument/2006/relationships/image" Target="media/image36.png"/><Relationship Id="rId5" Type="http://schemas.openxmlformats.org/officeDocument/2006/relationships/header" Target="header1.xml"/><Relationship Id="rId49" Type="http://schemas.openxmlformats.org/officeDocument/2006/relationships/image" Target="media/image35.png"/><Relationship Id="rId48" Type="http://schemas.openxmlformats.org/officeDocument/2006/relationships/image" Target="media/image34.png"/><Relationship Id="rId47" Type="http://schemas.openxmlformats.org/officeDocument/2006/relationships/image" Target="media/image33.png"/><Relationship Id="rId46" Type="http://schemas.openxmlformats.org/officeDocument/2006/relationships/image" Target="media/image32.png"/><Relationship Id="rId45" Type="http://schemas.openxmlformats.org/officeDocument/2006/relationships/image" Target="media/image31.png"/><Relationship Id="rId44" Type="http://schemas.openxmlformats.org/officeDocument/2006/relationships/image" Target="media/image30.png"/><Relationship Id="rId43" Type="http://schemas.openxmlformats.org/officeDocument/2006/relationships/image" Target="media/image29.png"/><Relationship Id="rId42" Type="http://schemas.openxmlformats.org/officeDocument/2006/relationships/image" Target="media/image28.png"/><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endnotes" Target="endnotes.xml"/><Relationship Id="rId39" Type="http://schemas.openxmlformats.org/officeDocument/2006/relationships/image" Target="media/image25.png"/><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footnotes" Target="footnotes.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0462BE16C374184B7BAD09FDCD9C3E6"/>
        <w:style w:val=""/>
        <w:category>
          <w:name w:val="常规"/>
          <w:gallery w:val="placeholder"/>
        </w:category>
        <w:types>
          <w:type w:val="bbPlcHdr"/>
        </w:types>
        <w:behaviors>
          <w:behavior w:val="content"/>
        </w:behaviors>
        <w:description w:val=""/>
        <w:guid w:val="{3FBED79E-8B98-4116-AFC3-B76C58998A2F}"/>
      </w:docPartPr>
      <w:docPartBody>
        <w:p w14:paraId="35C3DD6A">
          <w:pPr>
            <w:pStyle w:val="5"/>
            <w:rPr>
              <w:rFonts w:hint="eastAsia"/>
            </w:rPr>
          </w:pPr>
          <w:r>
            <w:rPr>
              <w:rStyle w:val="4"/>
              <w:rFonts w:hint="eastAsia"/>
            </w:rPr>
            <w:t>单击或点击此处输入文字。</w:t>
          </w:r>
        </w:p>
      </w:docPartBody>
    </w:docPart>
    <w:docPart>
      <w:docPartPr>
        <w:name w:val="09476E81B95844658B791BD24FFEAED6"/>
        <w:style w:val=""/>
        <w:category>
          <w:name w:val="常规"/>
          <w:gallery w:val="placeholder"/>
        </w:category>
        <w:types>
          <w:type w:val="bbPlcHdr"/>
        </w:types>
        <w:behaviors>
          <w:behavior w:val="content"/>
        </w:behaviors>
        <w:description w:val=""/>
        <w:guid w:val="{315F89F8-A97F-4C89-BBAA-B137676F7155}"/>
      </w:docPartPr>
      <w:docPartBody>
        <w:p w14:paraId="1E1169D9">
          <w:pPr>
            <w:pStyle w:val="6"/>
            <w:rPr>
              <w:rFonts w:hint="eastAsia"/>
            </w:rPr>
          </w:pPr>
          <w:r>
            <w:rPr>
              <w:rStyle w:val="4"/>
              <w:rFonts w:hint="eastAsia"/>
            </w:rPr>
            <w:t>选择一项。</w:t>
          </w:r>
        </w:p>
      </w:docPartBody>
    </w:docPart>
    <w:docPart>
      <w:docPartPr>
        <w:name w:val="18EC6F5EF00F462E888353638765EA59"/>
        <w:style w:val=""/>
        <w:category>
          <w:name w:val="常规"/>
          <w:gallery w:val="placeholder"/>
        </w:category>
        <w:types>
          <w:type w:val="bbPlcHdr"/>
        </w:types>
        <w:behaviors>
          <w:behavior w:val="content"/>
        </w:behaviors>
        <w:description w:val=""/>
        <w:guid w:val="{D833790D-59C1-4972-A520-1730A4E44690}"/>
      </w:docPartPr>
      <w:docPartBody>
        <w:p w14:paraId="31271215">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C8C"/>
    <w:rsid w:val="00412532"/>
    <w:rsid w:val="00626C8C"/>
    <w:rsid w:val="009010B0"/>
    <w:rsid w:val="00D70DB6"/>
    <w:rsid w:val="00EC6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0462BE16C374184B7BAD09FDCD9C3E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9476E81B95844658B791BD24FFEAED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8EC6F5EF00F462E888353638765EA5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18</Pages>
  <Words>8104</Words>
  <Characters>8965</Characters>
  <Lines>83</Lines>
  <Paragraphs>23</Paragraphs>
  <TotalTime>9</TotalTime>
  <ScaleCrop>false</ScaleCrop>
  <LinksUpToDate>false</LinksUpToDate>
  <CharactersWithSpaces>9249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2026-06-29T05:30:00Z</dcterms:created>
  <dc:creator>闻君</dc:creator>
  <cp:lastModifiedBy>崔金磊</cp:lastModifiedBy>
  <cp:lastPrinted>2021-02-02T08:22:00Z</cp:lastPrinted>
  <dcterms:modified xsi:type="dcterms:W3CDTF">2026-06-30T04:18:13Z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eyJoZGlkIjoiZTBmNmY3Yzg2MDQzNTI3MjI2OTJlNjBmY2U0ZTk5ODMiLCJ1c2VySWQiOiIxNjYwNjg0ODUxIn0=</vt:lpwstr>
  </property>
  <property fmtid="{D5CDD505-2E9C-101B-9397-08002B2CF9AE}" pid="15" name="KSOProductBuildVer">
    <vt:lpwstr>2052-12.1.0.26895</vt:lpwstr>
  </property>
  <property fmtid="{D5CDD505-2E9C-101B-9397-08002B2CF9AE}" pid="16" name="ICV">
    <vt:lpwstr>428CE933A6654591B61A95322640EA81_12</vt:lpwstr>
  </property>
</Properties>
</file>