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5F280">
      <w:pPr>
        <w:rPr>
          <w:rFonts w:hint="eastAsia"/>
        </w:rPr>
      </w:pPr>
    </w:p>
    <w:p w14:paraId="23D7DB0C">
      <w:pPr>
        <w:rPr>
          <w:rFonts w:hint="eastAsia"/>
        </w:rPr>
      </w:pPr>
    </w:p>
    <w:p w14:paraId="00886A79">
      <w:pPr>
        <w:rPr>
          <w:rFonts w:hint="eastAsia"/>
        </w:rPr>
      </w:pPr>
    </w:p>
    <w:p w14:paraId="1CDBF446">
      <w:pPr>
        <w:rPr>
          <w:rFonts w:hint="eastAsia"/>
        </w:rPr>
      </w:pPr>
    </w:p>
    <w:p w14:paraId="7D758439">
      <w:pPr>
        <w:rPr>
          <w:rFonts w:hint="eastAsia"/>
        </w:rPr>
      </w:pPr>
    </w:p>
    <w:p w14:paraId="63E14645">
      <w:pPr>
        <w:rPr>
          <w:rFonts w:hint="eastAsia" w:ascii="黑体" w:hAnsi="黑体" w:eastAsia="黑体"/>
          <w:color w:val="000000" w:themeColor="text1"/>
          <w:sz w:val="52"/>
          <w:szCs w:val="52"/>
          <w14:textFill>
            <w14:solidFill>
              <w14:schemeClr w14:val="tx1"/>
            </w14:solidFill>
          </w14:textFill>
        </w:rPr>
      </w:pPr>
    </w:p>
    <w:p w14:paraId="300D8EE4">
      <w:pPr>
        <w:jc w:val="center"/>
        <w:rPr>
          <w:rFonts w:hint="eastAsia" w:ascii="宋体" w:hAnsi="宋体" w:eastAsia="宋体"/>
          <w:color w:val="000000" w:themeColor="text1"/>
          <w:sz w:val="52"/>
          <w:szCs w:val="52"/>
          <w14:textFill>
            <w14:solidFill>
              <w14:schemeClr w14:val="tx1"/>
            </w14:solidFill>
          </w14:textFill>
        </w:rPr>
      </w:pPr>
      <w:r>
        <w:rPr>
          <w:rFonts w:hint="eastAsia" w:ascii="宋体" w:hAnsi="宋体" w:eastAsia="宋体"/>
          <w:color w:val="000000" w:themeColor="text1"/>
          <w:sz w:val="52"/>
          <w:szCs w:val="52"/>
          <w14:textFill>
            <w14:solidFill>
              <w14:schemeClr w14:val="tx1"/>
            </w14:solidFill>
          </w14:textFill>
        </w:rPr>
        <w:t>中国港口协会团体</w:t>
      </w:r>
      <w:r>
        <w:rPr>
          <w:rFonts w:ascii="宋体" w:hAnsi="宋体" w:eastAsia="宋体"/>
          <w:color w:val="000000" w:themeColor="text1"/>
          <w:sz w:val="52"/>
          <w:szCs w:val="52"/>
          <w14:textFill>
            <w14:solidFill>
              <w14:schemeClr w14:val="tx1"/>
            </w14:solidFill>
          </w14:textFill>
        </w:rPr>
        <w:t>标准</w:t>
      </w:r>
    </w:p>
    <w:p w14:paraId="5B646570">
      <w:pPr>
        <w:jc w:val="center"/>
        <w:rPr>
          <w:rFonts w:hint="eastAsia" w:ascii="宋体" w:hAnsi="宋体" w:eastAsia="宋体"/>
          <w:color w:val="000000" w:themeColor="text1"/>
          <w:sz w:val="52"/>
          <w:szCs w:val="52"/>
          <w14:textFill>
            <w14:solidFill>
              <w14:schemeClr w14:val="tx1"/>
            </w14:solidFill>
          </w14:textFill>
        </w:rPr>
      </w:pPr>
      <w:bookmarkStart w:id="0" w:name="_Toc488142666"/>
      <w:r>
        <w:rPr>
          <w:rFonts w:hint="eastAsia" w:ascii="宋体" w:hAnsi="宋体" w:eastAsia="宋体"/>
          <w:color w:val="000000" w:themeColor="text1"/>
          <w:sz w:val="52"/>
          <w:szCs w:val="52"/>
          <w14:textFill>
            <w14:solidFill>
              <w14:schemeClr w14:val="tx1"/>
            </w14:solidFill>
          </w14:textFill>
        </w:rPr>
        <w:t>转换平台</w:t>
      </w:r>
      <w:r>
        <w:rPr>
          <w:rFonts w:hint="eastAsia" w:ascii="宋体" w:hAnsi="宋体" w:eastAsia="宋体"/>
          <w:color w:val="000000" w:themeColor="text1"/>
          <w:sz w:val="52"/>
          <w:szCs w:val="52"/>
          <w:lang w:val="en-US" w:eastAsia="zh-CN"/>
          <w14:textFill>
            <w14:solidFill>
              <w14:schemeClr w14:val="tx1"/>
            </w14:solidFill>
          </w14:textFill>
        </w:rPr>
        <w:t>式</w:t>
      </w:r>
      <w:r>
        <w:rPr>
          <w:rFonts w:hint="eastAsia" w:ascii="宋体" w:hAnsi="宋体" w:eastAsia="宋体"/>
          <w:color w:val="000000" w:themeColor="text1"/>
          <w:sz w:val="52"/>
          <w:szCs w:val="52"/>
          <w14:textFill>
            <w14:solidFill>
              <w14:schemeClr w14:val="tx1"/>
            </w14:solidFill>
          </w14:textFill>
        </w:rPr>
        <w:t>集装箱技术要求</w:t>
      </w:r>
    </w:p>
    <w:p w14:paraId="13A8C7D2">
      <w:pPr>
        <w:jc w:val="center"/>
        <w:rPr>
          <w:rFonts w:hint="eastAsia" w:ascii="宋体" w:hAnsi="宋体" w:eastAsia="宋体"/>
          <w:color w:val="000000" w:themeColor="text1"/>
          <w:sz w:val="52"/>
          <w:szCs w:val="52"/>
          <w14:textFill>
            <w14:solidFill>
              <w14:schemeClr w14:val="tx1"/>
            </w14:solidFill>
          </w14:textFill>
        </w:rPr>
      </w:pPr>
      <w:r>
        <w:rPr>
          <w:rFonts w:hint="eastAsia" w:ascii="宋体" w:hAnsi="宋体" w:eastAsia="宋体"/>
          <w:color w:val="000000" w:themeColor="text1"/>
          <w:sz w:val="52"/>
          <w:szCs w:val="52"/>
          <w14:textFill>
            <w14:solidFill>
              <w14:schemeClr w14:val="tx1"/>
            </w14:solidFill>
          </w14:textFill>
        </w:rPr>
        <w:t>（初稿）</w:t>
      </w:r>
    </w:p>
    <w:p w14:paraId="1F9BD9DA">
      <w:pPr>
        <w:jc w:val="center"/>
        <w:rPr>
          <w:rFonts w:hint="eastAsia" w:ascii="黑体" w:hAnsi="黑体" w:eastAsia="黑体"/>
          <w:color w:val="000000" w:themeColor="text1"/>
          <w:sz w:val="52"/>
          <w:szCs w:val="52"/>
          <w14:textFill>
            <w14:solidFill>
              <w14:schemeClr w14:val="tx1"/>
            </w14:solidFill>
          </w14:textFill>
        </w:rPr>
      </w:pPr>
      <w:r>
        <w:rPr>
          <w:rFonts w:hint="eastAsia" w:ascii="宋体" w:hAnsi="宋体" w:eastAsia="宋体"/>
          <w:color w:val="000000" w:themeColor="text1"/>
          <w:sz w:val="52"/>
          <w:szCs w:val="52"/>
          <w14:textFill>
            <w14:solidFill>
              <w14:schemeClr w14:val="tx1"/>
            </w14:solidFill>
          </w14:textFill>
        </w:rPr>
        <w:t>编制说明</w:t>
      </w:r>
      <w:bookmarkEnd w:id="0"/>
    </w:p>
    <w:p w14:paraId="279BB5AD">
      <w:pPr>
        <w:rPr>
          <w:rFonts w:hint="eastAsia"/>
        </w:rPr>
      </w:pPr>
    </w:p>
    <w:p w14:paraId="4E3EEDC1">
      <w:pPr>
        <w:rPr>
          <w:rFonts w:hint="eastAsia"/>
        </w:rPr>
      </w:pPr>
    </w:p>
    <w:p w14:paraId="62E354FC">
      <w:pPr>
        <w:rPr>
          <w:rFonts w:hint="eastAsia"/>
        </w:rPr>
      </w:pPr>
    </w:p>
    <w:p w14:paraId="2844827F">
      <w:pPr>
        <w:rPr>
          <w:rFonts w:hint="eastAsia"/>
        </w:rPr>
      </w:pPr>
    </w:p>
    <w:p w14:paraId="5ECEF010">
      <w:pPr>
        <w:rPr>
          <w:rFonts w:hint="eastAsia"/>
        </w:rPr>
      </w:pPr>
    </w:p>
    <w:p w14:paraId="7CFE90F4">
      <w:pPr>
        <w:rPr>
          <w:rFonts w:hint="eastAsia"/>
        </w:rPr>
      </w:pPr>
    </w:p>
    <w:p w14:paraId="5C2ACB4D">
      <w:pPr>
        <w:rPr>
          <w:rFonts w:hint="eastAsia"/>
        </w:rPr>
      </w:pPr>
    </w:p>
    <w:p w14:paraId="7CB3B169">
      <w:pPr>
        <w:rPr>
          <w:rFonts w:hint="eastAsia"/>
        </w:rPr>
      </w:pPr>
    </w:p>
    <w:p w14:paraId="5B1B62BB">
      <w:pPr>
        <w:rPr>
          <w:rFonts w:hint="eastAsia"/>
        </w:rPr>
      </w:pPr>
    </w:p>
    <w:p w14:paraId="6B476C73">
      <w:pPr>
        <w:rPr>
          <w:rFonts w:hint="eastAsia"/>
        </w:rPr>
      </w:pPr>
    </w:p>
    <w:p w14:paraId="77B7B848">
      <w:pPr>
        <w:rPr>
          <w:rFonts w:hint="eastAsia"/>
        </w:rPr>
      </w:pPr>
    </w:p>
    <w:p w14:paraId="624032DC">
      <w:pPr>
        <w:rPr>
          <w:rFonts w:hint="eastAsia"/>
        </w:rPr>
      </w:pPr>
    </w:p>
    <w:p w14:paraId="1EDE5CBF">
      <w:pPr>
        <w:rPr>
          <w:rFonts w:hint="eastAsia"/>
        </w:rPr>
      </w:pPr>
    </w:p>
    <w:p w14:paraId="29BEA957">
      <w:pPr>
        <w:rPr>
          <w:rFonts w:hint="eastAsia"/>
        </w:rPr>
      </w:pPr>
    </w:p>
    <w:p w14:paraId="1499311E">
      <w:pPr>
        <w:widowControl/>
        <w:jc w:val="center"/>
        <w:rPr>
          <w:rFonts w:hint="eastAsia"/>
          <w:sz w:val="48"/>
          <w:szCs w:val="48"/>
        </w:rPr>
      </w:pPr>
      <w:r>
        <w:rPr>
          <w:rFonts w:hAnsi="宋体"/>
          <w:sz w:val="48"/>
          <w:szCs w:val="48"/>
        </w:rPr>
        <w:t>标准起草组</w:t>
      </w:r>
    </w:p>
    <w:p w14:paraId="6B44B3DE">
      <w:pPr>
        <w:jc w:val="center"/>
        <w:rPr>
          <w:rFonts w:ascii="Arial" w:hAnsi="Arial" w:cs="Arial"/>
          <w:sz w:val="40"/>
          <w:szCs w:val="40"/>
        </w:rPr>
      </w:pPr>
      <w:r>
        <w:rPr>
          <w:rFonts w:ascii="Arial" w:hAnsi="Arial" w:cs="Arial"/>
          <w:sz w:val="40"/>
          <w:szCs w:val="40"/>
        </w:rPr>
        <w:t>20</w:t>
      </w:r>
      <w:r>
        <w:rPr>
          <w:rFonts w:hint="eastAsia" w:ascii="Arial" w:hAnsi="Arial" w:cs="Arial"/>
          <w:sz w:val="40"/>
          <w:szCs w:val="40"/>
          <w:lang w:val="en-US" w:eastAsia="zh-CN"/>
        </w:rPr>
        <w:t>26</w:t>
      </w:r>
      <w:r>
        <w:rPr>
          <w:rFonts w:ascii="Arial" w:hAnsi="Arial" w:cs="Arial"/>
          <w:sz w:val="40"/>
          <w:szCs w:val="40"/>
        </w:rPr>
        <w:t>年</w:t>
      </w:r>
      <w:r>
        <w:rPr>
          <w:rFonts w:hint="eastAsia" w:ascii="Arial" w:hAnsi="Arial" w:cs="Arial"/>
          <w:sz w:val="40"/>
          <w:szCs w:val="40"/>
          <w:lang w:val="en-US" w:eastAsia="zh-CN"/>
        </w:rPr>
        <w:t>5</w:t>
      </w:r>
      <w:r>
        <w:rPr>
          <w:rFonts w:ascii="Arial" w:hAnsi="Arial" w:cs="Arial"/>
          <w:sz w:val="40"/>
          <w:szCs w:val="40"/>
        </w:rPr>
        <w:t>月</w:t>
      </w:r>
      <w:r>
        <w:rPr>
          <w:rFonts w:hint="eastAsia" w:ascii="Arial" w:hAnsi="Arial" w:cs="Arial"/>
          <w:sz w:val="40"/>
          <w:szCs w:val="40"/>
          <w:lang w:val="en-US" w:eastAsia="zh-CN"/>
        </w:rPr>
        <w:t>25</w:t>
      </w:r>
      <w:r>
        <w:rPr>
          <w:rFonts w:ascii="Arial" w:hAnsi="Arial" w:cs="Arial"/>
          <w:sz w:val="40"/>
          <w:szCs w:val="40"/>
        </w:rPr>
        <w:t>日</w:t>
      </w:r>
    </w:p>
    <w:p w14:paraId="482AD9C9">
      <w:pPr>
        <w:jc w:val="center"/>
        <w:rPr>
          <w:rFonts w:ascii="Arial" w:hAnsi="Arial" w:cs="Arial"/>
          <w:sz w:val="40"/>
          <w:szCs w:val="40"/>
        </w:rPr>
      </w:pPr>
    </w:p>
    <w:p w14:paraId="0CFA8807">
      <w:pPr>
        <w:jc w:val="center"/>
        <w:rPr>
          <w:rFonts w:ascii="Arial" w:hAnsi="Arial" w:cs="Arial"/>
          <w:sz w:val="40"/>
          <w:szCs w:val="40"/>
        </w:rPr>
      </w:pPr>
    </w:p>
    <w:p w14:paraId="1B88F862">
      <w:pPr>
        <w:jc w:val="center"/>
        <w:rPr>
          <w:rFonts w:ascii="Arial" w:hAnsi="Arial" w:cs="Arial"/>
          <w:sz w:val="40"/>
          <w:szCs w:val="40"/>
        </w:rPr>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pPr>
    </w:p>
    <w:p w14:paraId="4E59A37A">
      <w:pPr>
        <w:jc w:val="center"/>
        <w:rPr>
          <w:rFonts w:ascii="Arial" w:hAnsi="Arial" w:cs="Arial"/>
          <w:sz w:val="40"/>
          <w:szCs w:val="40"/>
        </w:rPr>
      </w:pPr>
    </w:p>
    <w:sdt>
      <w:sdtPr>
        <w:rPr>
          <w:rFonts w:asciiTheme="minorHAnsi" w:hAnsiTheme="minorHAnsi" w:eastAsiaTheme="minorEastAsia" w:cstheme="minorBidi"/>
          <w:color w:val="auto"/>
          <w:kern w:val="2"/>
          <w:sz w:val="21"/>
          <w:szCs w:val="22"/>
          <w:lang w:val="zh-CN"/>
          <w14:ligatures w14:val="standardContextual"/>
        </w:rPr>
        <w:id w:val="-1643118640"/>
        <w:docPartObj>
          <w:docPartGallery w:val="Table of Contents"/>
          <w:docPartUnique/>
        </w:docPartObj>
      </w:sdtPr>
      <w:sdtEndPr>
        <w:rPr>
          <w:rFonts w:asciiTheme="minorHAnsi" w:hAnsiTheme="minorHAnsi" w:eastAsiaTheme="minorEastAsia" w:cstheme="minorBidi"/>
          <w:b/>
          <w:bCs/>
          <w:color w:val="auto"/>
          <w:kern w:val="2"/>
          <w:sz w:val="21"/>
          <w:szCs w:val="22"/>
          <w:lang w:val="zh-CN"/>
          <w14:ligatures w14:val="standardContextual"/>
        </w:rPr>
      </w:sdtEndPr>
      <w:sdtContent>
        <w:p w14:paraId="7DE599DF">
          <w:pPr>
            <w:pStyle w:val="43"/>
            <w:jc w:val="center"/>
            <w:rPr>
              <w:rFonts w:hint="eastAsia"/>
            </w:rPr>
          </w:pPr>
          <w:r>
            <w:rPr>
              <w:lang w:val="zh-CN"/>
            </w:rPr>
            <w:t>目录</w:t>
          </w:r>
        </w:p>
        <w:p w14:paraId="29BB7C89">
          <w:pPr>
            <w:pStyle w:val="14"/>
            <w:tabs>
              <w:tab w:val="right" w:leader="dot" w:pos="8296"/>
            </w:tabs>
            <w:ind w:left="440" w:hanging="440"/>
            <w:rPr>
              <w:rFonts w:hint="eastAsia" w:cstheme="minorBidi"/>
              <w:kern w:val="2"/>
              <w:szCs w:val="24"/>
              <w14:ligatures w14:val="standardContextual"/>
            </w:rPr>
          </w:pPr>
          <w:r>
            <w:fldChar w:fldCharType="begin"/>
          </w:r>
          <w:r>
            <w:instrText xml:space="preserve"> TOC \o "1-3" \h \z \u </w:instrText>
          </w:r>
          <w:r>
            <w:fldChar w:fldCharType="separate"/>
          </w:r>
          <w:r>
            <w:fldChar w:fldCharType="begin"/>
          </w:r>
          <w:r>
            <w:instrText xml:space="preserve"> HYPERLINK \l "_Toc230177584" </w:instrText>
          </w:r>
          <w:r>
            <w:fldChar w:fldCharType="separate"/>
          </w:r>
          <w:r>
            <w:rPr>
              <w:rStyle w:val="20"/>
            </w:rPr>
            <w:t>一、工作简况</w:t>
          </w:r>
          <w:r>
            <w:rPr>
              <w:rFonts w:hint="eastAsia"/>
            </w:rPr>
            <w:tab/>
          </w:r>
          <w:r>
            <w:rPr>
              <w:rFonts w:hint="eastAsia"/>
            </w:rPr>
            <w:fldChar w:fldCharType="begin"/>
          </w:r>
          <w:r>
            <w:rPr>
              <w:rFonts w:hint="eastAsia"/>
            </w:rPr>
            <w:instrText xml:space="preserve"> </w:instrText>
          </w:r>
          <w:r>
            <w:instrText xml:space="preserve">PAGEREF _Toc230177584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14:paraId="18A554A9">
          <w:pPr>
            <w:pStyle w:val="14"/>
            <w:tabs>
              <w:tab w:val="right" w:leader="dot" w:pos="8296"/>
            </w:tabs>
            <w:ind w:left="440" w:hanging="440"/>
            <w:rPr>
              <w:rFonts w:hint="eastAsia" w:cstheme="minorBidi"/>
              <w:kern w:val="2"/>
              <w:szCs w:val="24"/>
              <w14:ligatures w14:val="standardContextual"/>
            </w:rPr>
          </w:pPr>
          <w:r>
            <w:fldChar w:fldCharType="begin"/>
          </w:r>
          <w:r>
            <w:instrText xml:space="preserve"> HYPERLINK \l "_Toc230177585" </w:instrText>
          </w:r>
          <w:r>
            <w:fldChar w:fldCharType="separate"/>
          </w:r>
          <w:r>
            <w:rPr>
              <w:rStyle w:val="20"/>
            </w:rPr>
            <w:t>二、标准编制原则和确定标准主要内容</w:t>
          </w:r>
          <w:r>
            <w:rPr>
              <w:rFonts w:hint="eastAsia"/>
            </w:rPr>
            <w:tab/>
          </w:r>
          <w:r>
            <w:rPr>
              <w:rFonts w:hint="eastAsia"/>
              <w:lang w:val="en-US" w:eastAsia="zh-CN"/>
            </w:rPr>
            <w:t>3</w:t>
          </w:r>
          <w:r>
            <w:rPr>
              <w:rFonts w:hint="eastAsia"/>
            </w:rPr>
            <w:fldChar w:fldCharType="end"/>
          </w:r>
        </w:p>
        <w:p w14:paraId="19AD9669">
          <w:pPr>
            <w:pStyle w:val="14"/>
            <w:tabs>
              <w:tab w:val="right" w:leader="dot" w:pos="8296"/>
            </w:tabs>
            <w:ind w:left="440" w:hanging="440"/>
            <w:rPr>
              <w:rFonts w:hint="eastAsia" w:cstheme="minorBidi"/>
              <w:kern w:val="2"/>
              <w:szCs w:val="24"/>
              <w14:ligatures w14:val="standardContextual"/>
            </w:rPr>
          </w:pPr>
          <w:r>
            <w:fldChar w:fldCharType="begin"/>
          </w:r>
          <w:r>
            <w:instrText xml:space="preserve"> HYPERLINK \l "_Toc230177586" </w:instrText>
          </w:r>
          <w:r>
            <w:fldChar w:fldCharType="separate"/>
          </w:r>
          <w:r>
            <w:rPr>
              <w:rStyle w:val="20"/>
            </w:rPr>
            <w:t>三、主要试验（或验证）的分析、综述报告，技术经济论证，预期的经济效果</w:t>
          </w:r>
          <w:r>
            <w:rPr>
              <w:rFonts w:hint="eastAsia"/>
            </w:rPr>
            <w:tab/>
          </w:r>
          <w:r>
            <w:rPr>
              <w:rFonts w:hint="eastAsia"/>
              <w:lang w:val="en-US" w:eastAsia="zh-CN"/>
            </w:rPr>
            <w:t>7</w:t>
          </w:r>
          <w:r>
            <w:rPr>
              <w:rFonts w:hint="eastAsia"/>
            </w:rPr>
            <w:fldChar w:fldCharType="end"/>
          </w:r>
        </w:p>
        <w:p w14:paraId="0EE0AE8D">
          <w:pPr>
            <w:pStyle w:val="14"/>
            <w:tabs>
              <w:tab w:val="right" w:leader="dot" w:pos="8296"/>
            </w:tabs>
            <w:ind w:left="440" w:hanging="440"/>
            <w:rPr>
              <w:rFonts w:hint="eastAsia" w:eastAsiaTheme="minorEastAsia"/>
              <w:lang w:val="en-US" w:eastAsia="zh-CN"/>
            </w:rPr>
          </w:pPr>
          <w:r>
            <w:fldChar w:fldCharType="begin"/>
          </w:r>
          <w:r>
            <w:instrText xml:space="preserve"> HYPERLINK \l "_Toc230177587" </w:instrText>
          </w:r>
          <w:r>
            <w:fldChar w:fldCharType="separate"/>
          </w:r>
          <w:r>
            <w:rPr>
              <w:rStyle w:val="20"/>
            </w:rPr>
            <w:t>四、采用国际标准和国外先进标准的程度</w:t>
          </w:r>
          <w:r>
            <w:rPr>
              <w:rFonts w:hint="eastAsia"/>
            </w:rPr>
            <w:tab/>
          </w:r>
          <w:r>
            <w:rPr>
              <w:rFonts w:hint="eastAsia"/>
            </w:rPr>
            <w:fldChar w:fldCharType="end"/>
          </w:r>
          <w:r>
            <w:rPr>
              <w:rFonts w:hint="eastAsia"/>
              <w:lang w:val="en-US" w:eastAsia="zh-CN"/>
            </w:rPr>
            <w:t>8</w:t>
          </w:r>
        </w:p>
        <w:p w14:paraId="6C59EC20">
          <w:pPr>
            <w:pStyle w:val="14"/>
            <w:keepNext w:val="0"/>
            <w:keepLines w:val="0"/>
            <w:pageBreakBefore w:val="0"/>
            <w:widowControl/>
            <w:tabs>
              <w:tab w:val="right" w:leader="dot" w:pos="8296"/>
            </w:tabs>
            <w:kinsoku/>
            <w:wordWrap/>
            <w:overflowPunct/>
            <w:topLinePunct w:val="0"/>
            <w:autoSpaceDE/>
            <w:autoSpaceDN/>
            <w:bidi w:val="0"/>
            <w:adjustRightInd/>
            <w:snapToGrid/>
            <w:spacing w:line="260" w:lineRule="auto"/>
            <w:ind w:left="0" w:firstLine="0" w:firstLineChars="0"/>
            <w:textAlignment w:val="auto"/>
            <w:rPr>
              <w:rFonts w:hint="eastAsia" w:cstheme="minorBidi"/>
              <w:kern w:val="2"/>
              <w:szCs w:val="24"/>
              <w14:ligatures w14:val="standardContextual"/>
            </w:rPr>
          </w:pPr>
          <w:r>
            <w:fldChar w:fldCharType="begin"/>
          </w:r>
          <w:r>
            <w:instrText xml:space="preserve"> HYPERLINK \l "_Toc230177588" </w:instrText>
          </w:r>
          <w:r>
            <w:fldChar w:fldCharType="separate"/>
          </w:r>
          <w:r>
            <w:rPr>
              <w:rStyle w:val="20"/>
            </w:rPr>
            <w:t>五、与有关的现行法律、法规和强制性标准的关系</w:t>
          </w:r>
          <w:r>
            <w:rPr>
              <w:rFonts w:hint="eastAsia"/>
            </w:rPr>
            <w:tab/>
          </w:r>
          <w:r>
            <w:rPr>
              <w:rFonts w:hint="eastAsia"/>
              <w:lang w:val="en-US" w:eastAsia="zh-CN"/>
            </w:rPr>
            <w:t>8</w:t>
          </w:r>
          <w:r>
            <w:rPr>
              <w:rFonts w:hint="eastAsia"/>
            </w:rPr>
            <w:fldChar w:fldCharType="end"/>
          </w:r>
        </w:p>
        <w:p w14:paraId="50C4692E">
          <w:pPr>
            <w:pStyle w:val="14"/>
            <w:tabs>
              <w:tab w:val="right" w:leader="dot" w:pos="8296"/>
            </w:tabs>
            <w:ind w:left="440" w:hanging="440"/>
            <w:rPr>
              <w:rFonts w:hint="eastAsia" w:cstheme="minorBidi"/>
              <w:kern w:val="2"/>
              <w:szCs w:val="24"/>
              <w14:ligatures w14:val="standardContextual"/>
            </w:rPr>
          </w:pPr>
          <w:r>
            <w:fldChar w:fldCharType="begin"/>
          </w:r>
          <w:r>
            <w:instrText xml:space="preserve"> HYPERLINK \l "_Toc230177589" </w:instrText>
          </w:r>
          <w:r>
            <w:fldChar w:fldCharType="separate"/>
          </w:r>
          <w:r>
            <w:rPr>
              <w:rStyle w:val="20"/>
            </w:rPr>
            <w:t>六、重大分歧意见的处理经过和依据</w:t>
          </w:r>
          <w:r>
            <w:rPr>
              <w:rFonts w:hint="eastAsia"/>
            </w:rPr>
            <w:tab/>
          </w:r>
          <w:r>
            <w:rPr>
              <w:rFonts w:hint="eastAsia"/>
              <w:lang w:val="en-US" w:eastAsia="zh-CN"/>
            </w:rPr>
            <w:t>8</w:t>
          </w:r>
          <w:r>
            <w:rPr>
              <w:rFonts w:hint="eastAsia"/>
            </w:rPr>
            <w:fldChar w:fldCharType="end"/>
          </w:r>
        </w:p>
        <w:p w14:paraId="1A03F6BC">
          <w:pPr>
            <w:pStyle w:val="14"/>
            <w:tabs>
              <w:tab w:val="right" w:leader="dot" w:pos="8296"/>
            </w:tabs>
            <w:ind w:left="440" w:hanging="440"/>
            <w:rPr>
              <w:rFonts w:hint="eastAsia" w:cstheme="minorBidi"/>
              <w:kern w:val="2"/>
              <w:szCs w:val="24"/>
              <w14:ligatures w14:val="standardContextual"/>
            </w:rPr>
          </w:pPr>
          <w:r>
            <w:fldChar w:fldCharType="begin"/>
          </w:r>
          <w:r>
            <w:instrText xml:space="preserve"> HYPERLINK \l "_Toc230177590" </w:instrText>
          </w:r>
          <w:r>
            <w:fldChar w:fldCharType="separate"/>
          </w:r>
          <w:r>
            <w:rPr>
              <w:rStyle w:val="20"/>
            </w:rPr>
            <w:t>七、贯彻标准的要求和措施建议</w:t>
          </w:r>
          <w:r>
            <w:rPr>
              <w:rFonts w:hint="eastAsia"/>
            </w:rPr>
            <w:tab/>
          </w:r>
          <w:r>
            <w:rPr>
              <w:rFonts w:hint="eastAsia"/>
              <w:lang w:val="en-US" w:eastAsia="zh-CN"/>
            </w:rPr>
            <w:t>8</w:t>
          </w:r>
          <w:r>
            <w:rPr>
              <w:rFonts w:hint="eastAsia"/>
            </w:rPr>
            <w:fldChar w:fldCharType="end"/>
          </w:r>
        </w:p>
        <w:p w14:paraId="251D48CA">
          <w:pPr>
            <w:pStyle w:val="14"/>
            <w:tabs>
              <w:tab w:val="right" w:leader="dot" w:pos="8296"/>
            </w:tabs>
            <w:ind w:left="440" w:hanging="440"/>
            <w:rPr>
              <w:rFonts w:hint="eastAsia" w:cstheme="minorBidi"/>
              <w:kern w:val="2"/>
              <w:szCs w:val="24"/>
              <w14:ligatures w14:val="standardContextual"/>
            </w:rPr>
          </w:pPr>
          <w:r>
            <w:fldChar w:fldCharType="begin"/>
          </w:r>
          <w:r>
            <w:instrText xml:space="preserve"> HYPERLINK \l "_Toc230177591" </w:instrText>
          </w:r>
          <w:r>
            <w:fldChar w:fldCharType="separate"/>
          </w:r>
          <w:r>
            <w:rPr>
              <w:rStyle w:val="20"/>
            </w:rPr>
            <w:t>八、废止现行有关标准的建议</w:t>
          </w:r>
          <w:r>
            <w:rPr>
              <w:rFonts w:hint="eastAsia"/>
            </w:rPr>
            <w:tab/>
          </w:r>
          <w:r>
            <w:rPr>
              <w:rFonts w:hint="eastAsia"/>
              <w:lang w:val="en-US" w:eastAsia="zh-CN"/>
            </w:rPr>
            <w:t>9</w:t>
          </w:r>
          <w:r>
            <w:rPr>
              <w:rFonts w:hint="eastAsia"/>
            </w:rPr>
            <w:fldChar w:fldCharType="end"/>
          </w:r>
        </w:p>
        <w:p w14:paraId="6F7E3397">
          <w:pPr>
            <w:pStyle w:val="14"/>
            <w:tabs>
              <w:tab w:val="right" w:leader="dot" w:pos="8296"/>
            </w:tabs>
            <w:ind w:left="440" w:hanging="440"/>
            <w:rPr>
              <w:rFonts w:hint="eastAsia" w:cstheme="minorBidi"/>
              <w:kern w:val="2"/>
              <w:szCs w:val="24"/>
              <w14:ligatures w14:val="standardContextual"/>
            </w:rPr>
          </w:pPr>
          <w:r>
            <w:fldChar w:fldCharType="begin"/>
          </w:r>
          <w:r>
            <w:instrText xml:space="preserve"> HYPERLINK \l "_Toc230177592" </w:instrText>
          </w:r>
          <w:r>
            <w:fldChar w:fldCharType="separate"/>
          </w:r>
          <w:r>
            <w:rPr>
              <w:rStyle w:val="20"/>
            </w:rPr>
            <w:t>九、其他应予说明的事项</w:t>
          </w:r>
          <w:r>
            <w:rPr>
              <w:rFonts w:hint="eastAsia"/>
            </w:rPr>
            <w:tab/>
          </w:r>
          <w:r>
            <w:rPr>
              <w:rFonts w:hint="eastAsia"/>
              <w:lang w:val="en-US" w:eastAsia="zh-CN"/>
            </w:rPr>
            <w:t>9</w:t>
          </w:r>
          <w:r>
            <w:rPr>
              <w:rFonts w:hint="eastAsia"/>
            </w:rPr>
            <w:fldChar w:fldCharType="end"/>
          </w:r>
          <w:bookmarkStart w:id="21" w:name="_GoBack"/>
          <w:bookmarkEnd w:id="21"/>
        </w:p>
        <w:p w14:paraId="6C4CF5A6">
          <w:pPr>
            <w:rPr>
              <w:rFonts w:hint="eastAsia"/>
            </w:rPr>
          </w:pPr>
          <w:r>
            <w:rPr>
              <w:b/>
              <w:bCs/>
              <w:lang w:val="zh-CN"/>
            </w:rPr>
            <w:fldChar w:fldCharType="end"/>
          </w:r>
        </w:p>
      </w:sdtContent>
    </w:sdt>
    <w:p w14:paraId="03E31988">
      <w:pPr>
        <w:jc w:val="center"/>
        <w:rPr>
          <w:rFonts w:ascii="Arial" w:hAnsi="Arial" w:cs="Arial"/>
          <w:sz w:val="40"/>
          <w:szCs w:val="40"/>
        </w:rPr>
      </w:pPr>
    </w:p>
    <w:p w14:paraId="5E9FE9B6">
      <w:pPr>
        <w:jc w:val="center"/>
        <w:rPr>
          <w:rFonts w:ascii="Arial" w:hAnsi="Arial" w:cs="Arial"/>
          <w:sz w:val="40"/>
          <w:szCs w:val="40"/>
        </w:rPr>
      </w:pPr>
    </w:p>
    <w:p w14:paraId="2033AE32">
      <w:pPr>
        <w:jc w:val="center"/>
        <w:rPr>
          <w:rFonts w:ascii="Arial" w:hAnsi="Arial" w:cs="Arial"/>
          <w:sz w:val="40"/>
          <w:szCs w:val="40"/>
        </w:rPr>
      </w:pPr>
    </w:p>
    <w:p w14:paraId="328B9319">
      <w:pPr>
        <w:jc w:val="center"/>
        <w:rPr>
          <w:rFonts w:ascii="Arial" w:hAnsi="Arial" w:cs="Arial"/>
          <w:sz w:val="40"/>
          <w:szCs w:val="40"/>
        </w:rPr>
      </w:pPr>
    </w:p>
    <w:p w14:paraId="4B2A7D58">
      <w:pPr>
        <w:jc w:val="center"/>
        <w:rPr>
          <w:rFonts w:ascii="Arial" w:hAnsi="Arial" w:cs="Arial"/>
          <w:sz w:val="40"/>
          <w:szCs w:val="40"/>
        </w:rPr>
      </w:pPr>
    </w:p>
    <w:p w14:paraId="749C97E3">
      <w:pPr>
        <w:jc w:val="center"/>
        <w:rPr>
          <w:rFonts w:ascii="Arial" w:hAnsi="Arial" w:cs="Arial"/>
          <w:sz w:val="40"/>
          <w:szCs w:val="40"/>
        </w:rPr>
      </w:pPr>
    </w:p>
    <w:p w14:paraId="49E16DA0">
      <w:pPr>
        <w:jc w:val="center"/>
        <w:rPr>
          <w:rFonts w:ascii="Arial" w:hAnsi="Arial" w:cs="Arial"/>
          <w:sz w:val="40"/>
          <w:szCs w:val="40"/>
        </w:rPr>
      </w:pPr>
    </w:p>
    <w:p w14:paraId="323F2730">
      <w:pPr>
        <w:jc w:val="center"/>
        <w:rPr>
          <w:rFonts w:ascii="Arial" w:hAnsi="Arial" w:cs="Arial"/>
          <w:sz w:val="40"/>
          <w:szCs w:val="40"/>
        </w:rPr>
      </w:pPr>
    </w:p>
    <w:p w14:paraId="14851472">
      <w:pPr>
        <w:jc w:val="center"/>
        <w:rPr>
          <w:rFonts w:ascii="Arial" w:hAnsi="Arial" w:cs="Arial"/>
          <w:sz w:val="40"/>
          <w:szCs w:val="40"/>
        </w:rPr>
      </w:pPr>
    </w:p>
    <w:p w14:paraId="05495713">
      <w:pPr>
        <w:widowControl/>
        <w:jc w:val="left"/>
        <w:rPr>
          <w:rFonts w:ascii="Arial" w:hAnsi="Arial" w:cs="Arial"/>
          <w:sz w:val="40"/>
          <w:szCs w:val="40"/>
        </w:rPr>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pPr>
    </w:p>
    <w:p w14:paraId="26BBAF08">
      <w:pPr>
        <w:jc w:val="center"/>
        <w:rPr>
          <w:rFonts w:hint="eastAsia" w:ascii="黑体" w:hAnsi="黑体" w:eastAsia="黑体"/>
          <w:sz w:val="32"/>
          <w:szCs w:val="32"/>
        </w:rPr>
      </w:pPr>
      <w:r>
        <w:rPr>
          <w:rFonts w:ascii="黑体" w:hAnsi="黑体" w:eastAsia="黑体"/>
          <w:sz w:val="32"/>
          <w:szCs w:val="32"/>
        </w:rPr>
        <w:t>《转换平台式集装箱技术要求》团体标准编制说明</w:t>
      </w:r>
    </w:p>
    <w:p w14:paraId="3EE1CEED">
      <w:pPr>
        <w:pStyle w:val="2"/>
        <w:keepNext/>
        <w:keepLines/>
        <w:pageBreakBefore w:val="0"/>
        <w:widowControl w:val="0"/>
        <w:kinsoku/>
        <w:wordWrap/>
        <w:overflowPunct/>
        <w:topLinePunct w:val="0"/>
        <w:autoSpaceDE/>
        <w:autoSpaceDN/>
        <w:bidi w:val="0"/>
        <w:adjustRightInd/>
        <w:snapToGrid/>
        <w:spacing w:line="360" w:lineRule="auto"/>
        <w:ind w:firstLine="560" w:firstLineChars="200"/>
        <w:textAlignment w:val="auto"/>
        <w:rPr>
          <w:rStyle w:val="42"/>
          <w:rFonts w:hint="eastAsia" w:asciiTheme="majorHAnsi" w:hAnsiTheme="majorHAnsi"/>
          <w:sz w:val="28"/>
          <w:szCs w:val="28"/>
        </w:rPr>
      </w:pPr>
      <w:bookmarkStart w:id="1" w:name="_Toc230177584"/>
      <w:r>
        <w:rPr>
          <w:rStyle w:val="21"/>
          <w:color w:val="000000" w:themeColor="text1"/>
          <w:sz w:val="28"/>
          <w:szCs w:val="28"/>
          <w14:textFill>
            <w14:solidFill>
              <w14:schemeClr w14:val="tx1"/>
            </w14:solidFill>
          </w14:textFill>
        </w:rPr>
        <w:t>一、工作简况</w:t>
      </w:r>
      <w:bookmarkEnd w:id="1"/>
      <w:r>
        <w:rPr>
          <w:rStyle w:val="42"/>
          <w:rFonts w:asciiTheme="majorHAnsi" w:hAnsiTheme="majorHAnsi"/>
          <w:sz w:val="28"/>
          <w:szCs w:val="28"/>
        </w:rPr>
        <w:t xml:space="preserve"> </w:t>
      </w:r>
    </w:p>
    <w:p w14:paraId="69D639B4">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本标准是根据“中国港口协会关于下达《2025年度中国港口协会团体标准化计划》的通知”中港协行函【2025】095 号要求制定，计划编号为：2025-19；标准名称为《转换平台式集装箱技术要求》，本标准由唐山港口实业集团有限公司、中国船级社质量认证有限公司、东方国际集装箱（锦州）有限公司联合提出，经</w:t>
      </w:r>
      <w:bookmarkStart w:id="2" w:name="OLE_LINK2"/>
      <w:r>
        <w:rPr>
          <w:rFonts w:hint="eastAsia" w:ascii="宋体" w:hAnsi="宋体" w:eastAsia="宋体" w:cs="宋体"/>
          <w:b w:val="0"/>
          <w:bCs w:val="0"/>
          <w:sz w:val="28"/>
          <w:szCs w:val="28"/>
        </w:rPr>
        <w:t>中国港口协会</w:t>
      </w:r>
      <w:bookmarkEnd w:id="2"/>
      <w:r>
        <w:rPr>
          <w:rFonts w:hint="eastAsia" w:ascii="宋体" w:hAnsi="宋体" w:eastAsia="宋体" w:cs="宋体"/>
          <w:b w:val="0"/>
          <w:bCs w:val="0"/>
          <w:sz w:val="28"/>
          <w:szCs w:val="28"/>
        </w:rPr>
        <w:t>立项批准，正式列入2025 年团体标准编制项目计划。主要工作过程如下：</w:t>
      </w:r>
    </w:p>
    <w:p w14:paraId="6445F5D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成立编制工作组</w:t>
      </w:r>
    </w:p>
    <w:p w14:paraId="467AD05A">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按照标准编制工作程序的要求，成立了《转换平台集装箱技术要求》编制工作组。编制小组组织架构建立及工作分工后，编制小组即刻组织相关专业人员收集相关技术资料。</w:t>
      </w:r>
    </w:p>
    <w:p w14:paraId="0FD85769">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color w:val="000000" w:themeColor="text1"/>
          <w:sz w:val="28"/>
          <w:szCs w:val="28"/>
          <w14:textFill>
            <w14:solidFill>
              <w14:schemeClr w14:val="tx1"/>
            </w14:solidFill>
          </w14:textFill>
        </w:rPr>
        <w:t>本标准名称定为：“转换平台集装箱技术要求”。标准起草由中国港口协会归口管理，唐山港口实业集团有限公司牵头，中国船级社质量认证有限公司、东方国际集装箱（锦州）有限公司等单位共同参与撰写。</w:t>
      </w:r>
    </w:p>
    <w:p w14:paraId="4E6A850E">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EE0000"/>
          <w:sz w:val="28"/>
          <w:szCs w:val="28"/>
          <w:highlight w:val="none"/>
        </w:rPr>
      </w:pPr>
      <w:r>
        <w:rPr>
          <w:rFonts w:hint="eastAsia" w:ascii="宋体" w:hAnsi="宋体" w:eastAsia="宋体" w:cs="宋体"/>
          <w:b w:val="0"/>
          <w:bCs w:val="0"/>
          <w:color w:val="000000" w:themeColor="text1"/>
          <w:sz w:val="28"/>
          <w:szCs w:val="28"/>
          <w14:textFill>
            <w14:solidFill>
              <w14:schemeClr w14:val="tx1"/>
            </w14:solidFill>
          </w14:textFill>
        </w:rPr>
        <w:t>起草单位中，中国船级社质量认证有限公司负责框架整体设计，确定标准的核心指导思想、编制原则及技术范围，总体上把握转换平台式集装箱技术要求的相关技术章节编制的总体要求，负责前言、第1 章范围、第2 章规范性引用文件、第3 章术语与定义、第6 章性能、附录B转换平台式集装箱的试验方法编制,同时负责各章节编写材料的工作汇总和格式修改；唐山港口实业集团有限公司负责第7章尺寸和偏差、第8章零部件第10章涂装的编写；</w:t>
      </w:r>
      <w:r>
        <w:rPr>
          <w:rFonts w:hint="eastAsia" w:ascii="宋体" w:hAnsi="宋体" w:eastAsia="宋体" w:cs="宋体"/>
          <w:b w:val="0"/>
          <w:bCs w:val="0"/>
          <w:sz w:val="28"/>
          <w:szCs w:val="28"/>
        </w:rPr>
        <w:t>东方国际集装箱（锦州）有限公司负责第4章结构、</w:t>
      </w:r>
      <w:r>
        <w:rPr>
          <w:rFonts w:hint="eastAsia" w:ascii="宋体" w:hAnsi="宋体" w:eastAsia="宋体" w:cs="宋体"/>
          <w:b w:val="0"/>
          <w:bCs w:val="0"/>
          <w:color w:val="000000" w:themeColor="text1"/>
          <w:sz w:val="28"/>
          <w:szCs w:val="28"/>
          <w14:textFill>
            <w14:solidFill>
              <w14:schemeClr w14:val="tx1"/>
            </w14:solidFill>
          </w14:textFill>
        </w:rPr>
        <w:t>第5章通用要求、</w:t>
      </w:r>
      <w:r>
        <w:rPr>
          <w:rFonts w:hint="eastAsia" w:ascii="宋体" w:hAnsi="宋体" w:eastAsia="宋体" w:cs="宋体"/>
          <w:b w:val="0"/>
          <w:bCs w:val="0"/>
          <w:sz w:val="28"/>
          <w:szCs w:val="28"/>
        </w:rPr>
        <w:t>第9章焊接与无损检测</w:t>
      </w:r>
      <w:r>
        <w:rPr>
          <w:rFonts w:hint="eastAsia" w:ascii="宋体" w:hAnsi="宋体" w:eastAsia="宋体" w:cs="宋体"/>
          <w:b w:val="0"/>
          <w:bCs w:val="0"/>
          <w:color w:val="000000" w:themeColor="text1"/>
          <w:sz w:val="28"/>
          <w:szCs w:val="28"/>
          <w14:textFill>
            <w14:solidFill>
              <w14:schemeClr w14:val="tx1"/>
            </w14:solidFill>
          </w14:textFill>
        </w:rPr>
        <w:t>的</w:t>
      </w:r>
      <w:r>
        <w:rPr>
          <w:rFonts w:hint="eastAsia" w:ascii="宋体" w:hAnsi="宋体" w:eastAsia="宋体" w:cs="宋体"/>
          <w:b w:val="0"/>
          <w:bCs w:val="0"/>
          <w:color w:val="000000" w:themeColor="text1"/>
          <w:sz w:val="28"/>
          <w:szCs w:val="28"/>
          <w:highlight w:val="none"/>
          <w14:textFill>
            <w14:solidFill>
              <w14:schemeClr w14:val="tx1"/>
            </w14:solidFill>
          </w14:textFill>
        </w:rPr>
        <w:t>编写。附录A转换平台式集装箱的结构和组合示例由三家共同编写。</w:t>
      </w:r>
    </w:p>
    <w:p w14:paraId="50C97B20">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本标准起草人为： </w:t>
      </w:r>
    </w:p>
    <w:p w14:paraId="39A6A6B0">
      <w:pPr>
        <w:pageBreakBefore w:val="0"/>
        <w:widowControl w:val="0"/>
        <w:numPr>
          <w:ilvl w:val="0"/>
          <w:numId w:val="1"/>
        </w:numPr>
        <w:kinsoku/>
        <w:overflowPunct/>
        <w:topLinePunct w:val="0"/>
        <w:autoSpaceDE/>
        <w:autoSpaceDN/>
        <w:bidi w:val="0"/>
        <w:adjustRightInd/>
        <w:snapToGrid/>
        <w:spacing w:line="360" w:lineRule="auto"/>
        <w:ind w:left="0" w:leftChars="0"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形成规程各阶段文稿</w:t>
      </w:r>
    </w:p>
    <w:p w14:paraId="01373438">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1</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立项准备工作阶段（2024年10 月～2025 年7 月）</w:t>
      </w:r>
    </w:p>
    <w:p w14:paraId="6010341F">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EE0000"/>
          <w:sz w:val="28"/>
          <w:szCs w:val="28"/>
        </w:rPr>
      </w:pPr>
      <w:r>
        <w:rPr>
          <w:rFonts w:hint="eastAsia" w:ascii="宋体" w:hAnsi="宋体" w:eastAsia="宋体" w:cs="宋体"/>
          <w:b w:val="0"/>
          <w:bCs w:val="0"/>
          <w:color w:val="000000" w:themeColor="text1"/>
          <w:sz w:val="28"/>
          <w:szCs w:val="28"/>
          <w14:textFill>
            <w14:solidFill>
              <w14:schemeClr w14:val="tx1"/>
            </w14:solidFill>
          </w14:textFill>
        </w:rPr>
        <w:t>转换平台式集装箱从2024年9月开始，进入实质化的研发阶段。唐山港口实业集团有限公司携手中国船级社质量认证有限公司共同组建项目研发小组，共同研发一种新型的“转换平台式集装箱”，以解决系列2集装箱在船舶上运输效率低下问题。通过调研船舶上通用集装箱箱位布置、集装箱绑扎系固情况、系列2集装箱的特点依据转换平台式装箱的使用工况条件，研究科学合理的方案并画出方案图。</w:t>
      </w:r>
    </w:p>
    <w:p w14:paraId="37D10A7C">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EE0000"/>
          <w:sz w:val="28"/>
          <w:szCs w:val="28"/>
        </w:rPr>
      </w:pPr>
      <w:r>
        <w:rPr>
          <w:rFonts w:hint="eastAsia" w:ascii="宋体" w:hAnsi="宋体" w:eastAsia="宋体" w:cs="宋体"/>
          <w:b w:val="0"/>
          <w:bCs w:val="0"/>
          <w:color w:val="000000" w:themeColor="text1"/>
          <w:sz w:val="28"/>
          <w:szCs w:val="28"/>
          <w14:textFill>
            <w14:solidFill>
              <w14:schemeClr w14:val="tx1"/>
            </w14:solidFill>
          </w14:textFill>
        </w:rPr>
        <w:t>2024 年9 月-2025年2 月，为首批转换平台式集装箱研发、制造和试验阶段，根据系列2集装箱宽度特点，与集装箱船舶上箱位布置情况，及船舶行驶航线的海况情况，编写技术要求、通过应力分析计算、研发适用的转换平台集装箱。</w:t>
      </w:r>
      <w:r>
        <w:rPr>
          <w:rFonts w:hint="eastAsia" w:ascii="宋体" w:hAnsi="宋体" w:eastAsia="宋体" w:cs="宋体"/>
          <w:b w:val="0"/>
          <w:bCs w:val="0"/>
          <w:color w:val="EE0000"/>
          <w:sz w:val="28"/>
          <w:szCs w:val="28"/>
        </w:rPr>
        <w:t xml:space="preserve"> </w:t>
      </w:r>
    </w:p>
    <w:p w14:paraId="06E18808">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EE0000"/>
          <w:sz w:val="28"/>
          <w:szCs w:val="28"/>
        </w:rPr>
      </w:pPr>
      <w:r>
        <w:rPr>
          <w:rFonts w:hint="eastAsia" w:ascii="宋体" w:hAnsi="宋体" w:eastAsia="宋体" w:cs="宋体"/>
          <w:b w:val="0"/>
          <w:bCs w:val="0"/>
          <w:color w:val="000000" w:themeColor="text1"/>
          <w:sz w:val="28"/>
          <w:szCs w:val="28"/>
          <w14:textFill>
            <w14:solidFill>
              <w14:schemeClr w14:val="tx1"/>
            </w14:solidFill>
          </w14:textFill>
        </w:rPr>
        <w:t>2025年4月，到秦皇岛调研装换平台式集装箱船舶试运情况，了解装换平台式集装箱的吊装、锁固、系列2集装箱的安装锁固、船舶运输、卸货的全流程工作情况。</w:t>
      </w:r>
    </w:p>
    <w:p w14:paraId="181B68F4">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color w:val="000000" w:themeColor="text1"/>
          <w:sz w:val="28"/>
          <w:szCs w:val="28"/>
          <w14:textFill>
            <w14:solidFill>
              <w14:schemeClr w14:val="tx1"/>
            </w14:solidFill>
          </w14:textFill>
        </w:rPr>
        <w:t>2025 年7 月，项目组再次到东方国际集装箱（锦州）有限公司调研转换平台式集装箱样箱制造和型式试验情况，现场见证试验过程。</w:t>
      </w:r>
    </w:p>
    <w:p w14:paraId="093DDD1C">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EE0000"/>
          <w:sz w:val="28"/>
          <w:szCs w:val="28"/>
        </w:rPr>
      </w:pPr>
      <w:r>
        <w:rPr>
          <w:rFonts w:hint="eastAsia" w:ascii="宋体" w:hAnsi="宋体" w:eastAsia="宋体" w:cs="宋体"/>
          <w:b w:val="0"/>
          <w:bCs w:val="0"/>
          <w:color w:val="000000" w:themeColor="text1"/>
          <w:sz w:val="28"/>
          <w:szCs w:val="28"/>
          <w14:textFill>
            <w14:solidFill>
              <w14:schemeClr w14:val="tx1"/>
            </w14:solidFill>
          </w14:textFill>
        </w:rPr>
        <w:t>2025年11月，转换平台式集装箱远距离航线实船运输调研，船舶航线为唐山港-钦州防城港，调研装换平台式集装箱起吊、安装、栓固、系列2集装箱安装，栓固及卸船情况，及转换平台集装箱的使用管理情况。</w:t>
      </w:r>
    </w:p>
    <w:p w14:paraId="4830411F">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color w:val="000000" w:themeColor="text1"/>
          <w:sz w:val="28"/>
          <w:szCs w:val="28"/>
          <w14:textFill>
            <w14:solidFill>
              <w14:schemeClr w14:val="tx1"/>
            </w14:solidFill>
          </w14:textFill>
        </w:rPr>
        <w:t>2025 年5 月-6 月完成团体标准申请稿编制，2025 年7 月开展《转换平台集装箱技术要求》标准申报，2025年11 月通过中国港口协会专家评审会，列入2025 年项目计划</w:t>
      </w:r>
      <w:r>
        <w:rPr>
          <w:rFonts w:hint="eastAsia" w:ascii="宋体" w:hAnsi="宋体" w:eastAsia="宋体" w:cs="宋体"/>
          <w:b w:val="0"/>
          <w:bCs w:val="0"/>
          <w:color w:val="EE0000"/>
          <w:sz w:val="28"/>
          <w:szCs w:val="28"/>
        </w:rPr>
        <w:t>，</w:t>
      </w:r>
      <w:r>
        <w:rPr>
          <w:rFonts w:hint="eastAsia" w:ascii="宋体" w:hAnsi="宋体" w:eastAsia="宋体" w:cs="宋体"/>
          <w:b w:val="0"/>
          <w:bCs w:val="0"/>
          <w:color w:val="000000" w:themeColor="text1"/>
          <w:sz w:val="28"/>
          <w:szCs w:val="28"/>
          <w14:textFill>
            <w14:solidFill>
              <w14:schemeClr w14:val="tx1"/>
            </w14:solidFill>
          </w14:textFill>
        </w:rPr>
        <w:t>2025 年11 月24 日中国港口协会下达了标准编制任务。</w:t>
      </w:r>
    </w:p>
    <w:p w14:paraId="14DBDF13">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eastAsia="宋体" w:cs="宋体"/>
          <w:b w:val="0"/>
          <w:bCs w:val="0"/>
          <w:color w:val="000000" w:themeColor="text1"/>
          <w:sz w:val="28"/>
          <w:szCs w:val="28"/>
          <w:lang w:val="en-US" w:eastAsia="zh-CN"/>
          <w14:textFill>
            <w14:solidFill>
              <w14:schemeClr w14:val="tx1"/>
            </w14:solidFill>
          </w14:textFill>
        </w:rPr>
        <w:t>2</w:t>
      </w:r>
      <w:r>
        <w:rPr>
          <w:rFonts w:hint="eastAsia" w:ascii="宋体" w:hAnsi="宋体" w:eastAsia="宋体" w:cs="宋体"/>
          <w:b w:val="0"/>
          <w:bCs w:val="0"/>
          <w:color w:val="000000" w:themeColor="text1"/>
          <w:sz w:val="28"/>
          <w:szCs w:val="28"/>
          <w:lang w:eastAsia="zh-CN"/>
          <w14:textFill>
            <w14:solidFill>
              <w14:schemeClr w14:val="tx1"/>
            </w14:solidFill>
          </w14:textFill>
        </w:rPr>
        <w:t>）</w:t>
      </w:r>
      <w:r>
        <w:rPr>
          <w:rFonts w:hint="eastAsia" w:ascii="宋体" w:hAnsi="宋体" w:eastAsia="宋体" w:cs="宋体"/>
          <w:b w:val="0"/>
          <w:bCs w:val="0"/>
          <w:color w:val="000000" w:themeColor="text1"/>
          <w:sz w:val="28"/>
          <w:szCs w:val="28"/>
          <w14:textFill>
            <w14:solidFill>
              <w14:schemeClr w14:val="tx1"/>
            </w14:solidFill>
          </w14:textFill>
        </w:rPr>
        <w:t>大纲评审</w:t>
      </w:r>
      <w:r>
        <w:rPr>
          <w:rFonts w:hint="eastAsia" w:ascii="宋体" w:hAnsi="宋体" w:eastAsia="宋体" w:cs="宋体"/>
          <w:b w:val="0"/>
          <w:bCs w:val="0"/>
          <w:sz w:val="28"/>
          <w:szCs w:val="28"/>
        </w:rPr>
        <w:t>（2025 年12 月～2026 年3 月）</w:t>
      </w:r>
    </w:p>
    <w:p w14:paraId="0CE9B760">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2026年3月，项目组完成了转换平台集装箱的大纲编写。2026年4月，中国港口协会组织5名专家对大纲进行了评审，并给出了大纲的修改意见。</w:t>
      </w:r>
    </w:p>
    <w:p w14:paraId="0B7D9F3E">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编制初稿</w:t>
      </w:r>
      <w:bookmarkStart w:id="3" w:name="OLE_LINK56"/>
      <w:r>
        <w:rPr>
          <w:rFonts w:hint="eastAsia" w:ascii="宋体" w:hAnsi="宋体" w:eastAsia="宋体" w:cs="宋体"/>
          <w:b w:val="0"/>
          <w:bCs w:val="0"/>
          <w:sz w:val="28"/>
          <w:szCs w:val="28"/>
        </w:rPr>
        <w:t>（2026 年4 月～2026年5 月）</w:t>
      </w:r>
      <w:bookmarkEnd w:id="3"/>
    </w:p>
    <w:p w14:paraId="17DE4E2F">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color w:val="EE0000"/>
          <w:sz w:val="28"/>
          <w:szCs w:val="28"/>
        </w:rPr>
      </w:pPr>
      <w:r>
        <w:rPr>
          <w:rFonts w:hint="eastAsia" w:ascii="宋体" w:hAnsi="宋体" w:eastAsia="宋体" w:cs="宋体"/>
          <w:b w:val="0"/>
          <w:bCs w:val="0"/>
          <w:sz w:val="28"/>
          <w:szCs w:val="28"/>
        </w:rPr>
        <w:t>2026年4月，项目组根据大纲评审意见，根据预定的分工，组织完成了标准的编写。项目组多次组织讨论，根据转换平台式集装箱运行试验情况及集装箱的特点，进一步完善标准稿，于2026年5月下旬完成了标准征求意见稿。</w:t>
      </w:r>
    </w:p>
    <w:p w14:paraId="19033439">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征求意见阶段（2026 年6 月）</w:t>
      </w:r>
    </w:p>
    <w:p w14:paraId="104E85AF">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5</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审查阶段（2026 年7 月～ ）</w:t>
      </w:r>
    </w:p>
    <w:p w14:paraId="2502C7EC">
      <w:pPr>
        <w:pageBreakBefore w:val="0"/>
        <w:widowControl w:val="0"/>
        <w:kinsoku/>
        <w:overflowPunct/>
        <w:topLinePunct w:val="0"/>
        <w:autoSpaceDE/>
        <w:autoSpaceDN/>
        <w:bidi w:val="0"/>
        <w:adjustRightInd/>
        <w:snapToGrid/>
        <w:spacing w:line="360" w:lineRule="auto"/>
        <w:ind w:firstLine="560" w:firstLineChars="200"/>
        <w:jc w:val="left"/>
        <w:textAlignment w:val="auto"/>
        <w:rPr>
          <w:rStyle w:val="21"/>
          <w:rFonts w:hint="eastAsia"/>
          <w:color w:val="000000" w:themeColor="text1"/>
          <w:sz w:val="28"/>
          <w:szCs w:val="28"/>
          <w14:textFill>
            <w14:solidFill>
              <w14:schemeClr w14:val="tx1"/>
            </w14:solidFill>
          </w14:textFill>
        </w:rPr>
      </w:pPr>
      <w:bookmarkStart w:id="4" w:name="_Toc230177585"/>
      <w:r>
        <w:rPr>
          <w:rStyle w:val="21"/>
          <w:color w:val="000000" w:themeColor="text1"/>
          <w:sz w:val="28"/>
          <w:szCs w:val="28"/>
          <w14:textFill>
            <w14:solidFill>
              <w14:schemeClr w14:val="tx1"/>
            </w14:solidFill>
          </w14:textFill>
        </w:rPr>
        <w:t>二、标准编制原则和确定标准主要内容</w:t>
      </w:r>
      <w:bookmarkEnd w:id="4"/>
    </w:p>
    <w:p w14:paraId="3AB714CB">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标准编</w:t>
      </w:r>
      <w:r>
        <w:rPr>
          <w:rFonts w:hint="eastAsia" w:ascii="宋体" w:hAnsi="宋体" w:eastAsia="宋体" w:cs="宋体"/>
          <w:color w:val="000000" w:themeColor="text1"/>
          <w:sz w:val="28"/>
          <w:szCs w:val="28"/>
          <w14:textFill>
            <w14:solidFill>
              <w14:schemeClr w14:val="tx1"/>
            </w14:solidFill>
          </w14:textFill>
        </w:rPr>
        <w:t>制的原则</w:t>
      </w:r>
    </w:p>
    <w:p w14:paraId="1CA57189">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lang w:eastAsia="zh-CN"/>
        </w:rPr>
      </w:pPr>
      <w:r>
        <w:rPr>
          <w:rFonts w:hint="eastAsia" w:ascii="宋体" w:hAnsi="宋体" w:eastAsia="宋体" w:cs="宋体"/>
          <w:color w:val="000000" w:themeColor="text1"/>
          <w:sz w:val="28"/>
          <w:szCs w:val="28"/>
          <w14:textFill>
            <w14:solidFill>
              <w14:schemeClr w14:val="tx1"/>
            </w14:solidFill>
          </w14:textFill>
        </w:rPr>
        <w:t>本标准编制遵循以下</w:t>
      </w:r>
      <w:r>
        <w:rPr>
          <w:rFonts w:hint="eastAsia" w:ascii="宋体" w:hAnsi="宋体" w:eastAsia="宋体" w:cs="宋体"/>
          <w:color w:val="auto"/>
          <w:sz w:val="28"/>
          <w:szCs w:val="28"/>
        </w:rPr>
        <w:t>原则</w:t>
      </w:r>
      <w:r>
        <w:rPr>
          <w:rFonts w:hint="eastAsia" w:ascii="宋体" w:hAnsi="宋体" w:eastAsia="宋体" w:cs="宋体"/>
          <w:color w:val="auto"/>
          <w:sz w:val="28"/>
          <w:szCs w:val="28"/>
          <w:lang w:eastAsia="zh-CN"/>
        </w:rPr>
        <w:t>：</w:t>
      </w:r>
    </w:p>
    <w:p w14:paraId="6CC19276">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color w:val="000000" w:themeColor="text1"/>
          <w:sz w:val="28"/>
          <w:szCs w:val="28"/>
          <w:lang w:val="en-US" w:eastAsia="zh-CN"/>
          <w14:textFill>
            <w14:solidFill>
              <w14:schemeClr w14:val="tx1"/>
            </w14:solidFill>
          </w14:textFill>
        </w:rPr>
        <w:t>（1）</w:t>
      </w:r>
      <w:r>
        <w:rPr>
          <w:rFonts w:hint="eastAsia" w:ascii="宋体" w:hAnsi="宋体" w:eastAsia="宋体" w:cs="宋体"/>
          <w:color w:val="000000" w:themeColor="text1"/>
          <w:sz w:val="28"/>
          <w:szCs w:val="28"/>
          <w14:textFill>
            <w14:solidFill>
              <w14:schemeClr w14:val="tx1"/>
            </w14:solidFill>
          </w14:textFill>
        </w:rPr>
        <w:t>合规原则，遵守国家的法律法规、标准规范，符合中国国情和GB/T 1.1-2020《准化工作导则第1 部分：标准化文件的结构和起草规则》要求；</w:t>
      </w:r>
    </w:p>
    <w:p w14:paraId="48E3E21A">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通用性原则，本标准在充分调研分析总结转换平台式集装箱现状的基础上，对其结构、性能、尺寸、零部件、焊接和无损检测、涂装等作了较详细的规定，以确保转换平台式集装箱安全规范化运行，通用性较高。</w:t>
      </w:r>
    </w:p>
    <w:p w14:paraId="05EE38EF">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（3）</w:t>
      </w:r>
      <w:r>
        <w:rPr>
          <w:rFonts w:hint="eastAsia" w:ascii="宋体" w:hAnsi="宋体" w:eastAsia="宋体" w:cs="宋体"/>
          <w:color w:val="000000" w:themeColor="text1"/>
          <w:sz w:val="28"/>
          <w:szCs w:val="28"/>
          <w14:textFill>
            <w14:solidFill>
              <w14:schemeClr w14:val="tx1"/>
            </w14:solidFill>
          </w14:textFill>
        </w:rPr>
        <w:t>指导性原则，本标准提出的技术要求对于</w:t>
      </w:r>
      <w:bookmarkStart w:id="5" w:name="OLE_LINK53"/>
      <w:r>
        <w:rPr>
          <w:rFonts w:hint="eastAsia" w:ascii="宋体" w:hAnsi="宋体" w:eastAsia="宋体" w:cs="宋体"/>
          <w:color w:val="000000" w:themeColor="text1"/>
          <w:sz w:val="28"/>
          <w:szCs w:val="28"/>
          <w14:textFill>
            <w14:solidFill>
              <w14:schemeClr w14:val="tx1"/>
            </w14:solidFill>
          </w14:textFill>
        </w:rPr>
        <w:t>转换平台式集装箱</w:t>
      </w:r>
      <w:bookmarkEnd w:id="5"/>
      <w:r>
        <w:rPr>
          <w:rFonts w:hint="eastAsia" w:ascii="宋体" w:hAnsi="宋体" w:eastAsia="宋体" w:cs="宋体"/>
          <w:color w:val="000000" w:themeColor="text1"/>
          <w:sz w:val="28"/>
          <w:szCs w:val="28"/>
          <w14:textFill>
            <w14:solidFill>
              <w14:schemeClr w14:val="tx1"/>
            </w14:solidFill>
          </w14:textFill>
        </w:rPr>
        <w:t>的设计、生产和使用具有指导意义和参考作用，填补了集装箱领域标准的空白。</w:t>
      </w:r>
    </w:p>
    <w:p w14:paraId="7DD7D178">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color w:val="000000" w:themeColor="text1"/>
          <w:sz w:val="28"/>
          <w:szCs w:val="28"/>
          <w:lang w:val="en-US" w:eastAsia="zh-CN"/>
          <w14:textFill>
            <w14:solidFill>
              <w14:schemeClr w14:val="tx1"/>
            </w14:solidFill>
          </w14:textFill>
        </w:rPr>
        <w:t>（4）</w:t>
      </w:r>
      <w:r>
        <w:rPr>
          <w:rFonts w:hint="eastAsia" w:ascii="宋体" w:hAnsi="宋体" w:eastAsia="宋体" w:cs="宋体"/>
          <w:color w:val="000000" w:themeColor="text1"/>
          <w:sz w:val="28"/>
          <w:szCs w:val="28"/>
          <w14:textFill>
            <w14:solidFill>
              <w14:schemeClr w14:val="tx1"/>
            </w14:solidFill>
          </w14:textFill>
        </w:rPr>
        <w:t>协调性原则，本标准提出的技术要求与国家、行业标准中的方法协调统一、互不交叉。</w:t>
      </w:r>
    </w:p>
    <w:p w14:paraId="224EE1C5">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（5）</w:t>
      </w:r>
      <w:r>
        <w:rPr>
          <w:rFonts w:hint="eastAsia" w:ascii="宋体" w:hAnsi="宋体" w:eastAsia="宋体" w:cs="宋体"/>
          <w:color w:val="000000" w:themeColor="text1"/>
          <w:sz w:val="28"/>
          <w:szCs w:val="28"/>
          <w14:textFill>
            <w14:solidFill>
              <w14:schemeClr w14:val="tx1"/>
            </w14:solidFill>
          </w14:textFill>
        </w:rPr>
        <w:t>兼容性原则，本标准提出的技术和要求充分考虑了国内集装箱行业的工艺设施，具有普遍适用性。</w:t>
      </w:r>
    </w:p>
    <w:p w14:paraId="397F8CB4">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（6）</w:t>
      </w:r>
      <w:r>
        <w:rPr>
          <w:rFonts w:hint="eastAsia" w:ascii="宋体" w:hAnsi="宋体" w:eastAsia="宋体" w:cs="宋体"/>
          <w:color w:val="000000" w:themeColor="text1"/>
          <w:sz w:val="28"/>
          <w:szCs w:val="28"/>
          <w14:textFill>
            <w14:solidFill>
              <w14:schemeClr w14:val="tx1"/>
            </w14:solidFill>
          </w14:textFill>
        </w:rPr>
        <w:t>持续发展原则，依照转换平台式集装箱的运输安全、可操作性、确保运输经济、安全的原则制定，满足并服务于我国集装箱行业持续发展原则。</w:t>
      </w:r>
    </w:p>
    <w:p w14:paraId="01B20D6F">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标准制定依据</w:t>
      </w:r>
    </w:p>
    <w:p w14:paraId="470995B7">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color w:val="000000" w:themeColor="text1"/>
          <w:sz w:val="28"/>
          <w:szCs w:val="28"/>
          <w14:textFill>
            <w14:solidFill>
              <w14:schemeClr w14:val="tx1"/>
            </w14:solidFill>
          </w14:textFill>
        </w:rPr>
        <w:t>本标准编制时遵守了GB/T 1.1-2020《准化工作导则第1 部分：标准化文件的结构和起草规则》系列标准确定的原则。本标准主要技术数据来源依据国内平台式集装箱的相关规范和标准，并结合转换平台式集装箱的特殊性，借助国内行业运行实践经验编制。</w:t>
      </w:r>
    </w:p>
    <w:p w14:paraId="2EF5242F">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GB/T 1413 系列1 集装箱 分类、尺寸和额定质量</w:t>
      </w:r>
    </w:p>
    <w:p w14:paraId="0D79E2F6">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GB/T 1835 系列1 集装箱 角件技术要求</w:t>
      </w:r>
    </w:p>
    <w:p w14:paraId="1804C093">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bookmarkStart w:id="6" w:name="OLE_LINK11"/>
      <w:r>
        <w:rPr>
          <w:rFonts w:hint="eastAsia" w:ascii="宋体" w:hAnsi="宋体" w:eastAsia="宋体" w:cs="宋体"/>
          <w:sz w:val="28"/>
          <w:szCs w:val="28"/>
        </w:rPr>
        <w:t>GB/T 1836</w:t>
      </w:r>
      <w:bookmarkEnd w:id="6"/>
      <w:r>
        <w:rPr>
          <w:rFonts w:hint="eastAsia" w:ascii="宋体" w:hAnsi="宋体" w:eastAsia="宋体" w:cs="宋体"/>
          <w:sz w:val="28"/>
          <w:szCs w:val="28"/>
        </w:rPr>
        <w:t xml:space="preserve"> 集装箱代码、识别和标记</w:t>
      </w:r>
    </w:p>
    <w:p w14:paraId="095C8CA4">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GB/T 1992集装箱术语</w:t>
      </w:r>
    </w:p>
    <w:p w14:paraId="3E8C1CC3">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GB/T17382 系列1集装箱 装卸和栓固</w:t>
      </w:r>
    </w:p>
    <w:p w14:paraId="2614AA0D">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GB/T 35201 系列2集装箱 分类、尺寸和额定质量</w:t>
      </w:r>
    </w:p>
    <w:p w14:paraId="01CC89D8">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GB/T 5338.5系列1 集装箱 技术要求和试验方法 第5部分 平台和台架式集装箱</w:t>
      </w:r>
    </w:p>
    <w:p w14:paraId="4ECCBCD4">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bookmarkStart w:id="7" w:name="OLE_LINK48"/>
      <w:r>
        <w:rPr>
          <w:rFonts w:hint="eastAsia" w:ascii="宋体" w:hAnsi="宋体" w:eastAsia="宋体" w:cs="宋体"/>
          <w:sz w:val="28"/>
          <w:szCs w:val="28"/>
        </w:rPr>
        <w:t xml:space="preserve">JT/T 1172.5 </w:t>
      </w:r>
      <w:bookmarkEnd w:id="7"/>
      <w:r>
        <w:rPr>
          <w:rFonts w:hint="eastAsia" w:ascii="宋体" w:hAnsi="宋体" w:eastAsia="宋体" w:cs="宋体"/>
          <w:sz w:val="28"/>
          <w:szCs w:val="28"/>
        </w:rPr>
        <w:t>系列2集装箱 技术要求和试验方法 第5部分 平台和台架式集装箱</w:t>
      </w:r>
    </w:p>
    <w:p w14:paraId="1F74DEA5">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bookmarkStart w:id="8" w:name="OLE_LINK13"/>
      <w:r>
        <w:rPr>
          <w:rFonts w:hint="eastAsia" w:ascii="宋体" w:hAnsi="宋体" w:eastAsia="宋体" w:cs="宋体"/>
          <w:sz w:val="28"/>
          <w:szCs w:val="28"/>
        </w:rPr>
        <w:t>JT/T 1463</w:t>
      </w:r>
      <w:bookmarkEnd w:id="8"/>
      <w:r>
        <w:rPr>
          <w:rFonts w:hint="eastAsia" w:ascii="宋体" w:hAnsi="宋体" w:eastAsia="宋体" w:cs="宋体"/>
          <w:sz w:val="28"/>
          <w:szCs w:val="28"/>
        </w:rPr>
        <w:t xml:space="preserve"> 系列2 集装箱 代码、识别和标记</w:t>
      </w:r>
    </w:p>
    <w:p w14:paraId="376CC594">
      <w:pPr>
        <w:pageBreakBefore w:val="0"/>
        <w:widowControl w:val="0"/>
        <w:numPr>
          <w:ilvl w:val="0"/>
          <w:numId w:val="1"/>
        </w:numPr>
        <w:kinsoku/>
        <w:overflowPunct/>
        <w:topLinePunct w:val="0"/>
        <w:autoSpaceDE/>
        <w:autoSpaceDN/>
        <w:bidi w:val="0"/>
        <w:adjustRightInd/>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标准主要内容</w:t>
      </w:r>
    </w:p>
    <w:p w14:paraId="62E488DE">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rPr>
        <w:t>主要内容和适用性</w:t>
      </w:r>
    </w:p>
    <w:p w14:paraId="2CDCF089">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本文件主要内容包括范围、规范性引用文件、术语和定义、结构、通用要求、性能、尺寸与公差、零部件、焊接与无损检测、涂装和附录。</w:t>
      </w:r>
    </w:p>
    <w:p w14:paraId="65B10AA1">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bookmarkStart w:id="9" w:name="OLE_LINK1"/>
      <w:r>
        <w:rPr>
          <w:rFonts w:hint="eastAsia" w:ascii="宋体" w:hAnsi="宋体" w:eastAsia="宋体" w:cs="宋体"/>
          <w:sz w:val="28"/>
          <w:szCs w:val="28"/>
        </w:rPr>
        <w:t>本文件</w:t>
      </w:r>
      <w:bookmarkEnd w:id="9"/>
      <w:r>
        <w:rPr>
          <w:rFonts w:hint="eastAsia" w:ascii="宋体" w:hAnsi="宋体" w:eastAsia="宋体" w:cs="宋体"/>
          <w:sz w:val="28"/>
          <w:szCs w:val="28"/>
        </w:rPr>
        <w:t>规定了转换平台式集装箱的结构、通用要求、性能、尺寸与公差、零部件、焊接与无损检测、涂装要求，适用于转换平台式集装箱的设计、生产和使用。</w:t>
      </w:r>
    </w:p>
    <w:p w14:paraId="0FCDC9A8">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sz w:val="28"/>
          <w:szCs w:val="28"/>
        </w:rPr>
        <w:t>本文件不适用于公路和铁路运输的转换平台式集装箱。</w:t>
      </w:r>
    </w:p>
    <w:p w14:paraId="69CC9809">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标准编制思想</w:t>
      </w:r>
    </w:p>
    <w:p w14:paraId="53A724FF">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该技术要求为推动国家“铁水联运”战略导向下的多式联运装备技术创新及标准化研发项目，目的是解决系列2集装箱船舶运输效率低下的行业痛点，推动铁路、海运多式联运发展，保障集装箱运输安全与高效，填补行业内该类产品标准化的空白，为行业企业提供统一的技术遵循和质量依据。</w:t>
      </w:r>
    </w:p>
    <w:p w14:paraId="17C74F6C">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本技术要求旨在统一转换平台式集装箱的结构、通用要求、性能、尺寸与公差、零部件、焊接与无损检测、涂装要求，规范转换平台式集装箱的设计、生产和使用要求。</w:t>
      </w:r>
    </w:p>
    <w:p w14:paraId="24038FD3">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标准解释说明</w:t>
      </w:r>
    </w:p>
    <w:p w14:paraId="37B15444">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sz w:val="28"/>
          <w:szCs w:val="28"/>
          <w:lang w:val="en-US" w:eastAsia="zh-CN"/>
        </w:rPr>
        <w:t>①</w:t>
      </w:r>
      <w:r>
        <w:rPr>
          <w:rFonts w:hint="eastAsia" w:ascii="宋体" w:hAnsi="宋体" w:eastAsia="宋体" w:cs="宋体"/>
          <w:sz w:val="28"/>
          <w:szCs w:val="28"/>
        </w:rPr>
        <w:t>标准名称：“转换平台式集装箱技术要求”。</w:t>
      </w:r>
    </w:p>
    <w:p w14:paraId="62D0E297">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sz w:val="28"/>
          <w:szCs w:val="28"/>
          <w:lang w:val="en-US" w:eastAsia="zh-CN"/>
        </w:rPr>
        <w:t>②</w:t>
      </w:r>
      <w:r>
        <w:rPr>
          <w:rFonts w:hint="eastAsia" w:ascii="宋体" w:hAnsi="宋体" w:eastAsia="宋体" w:cs="宋体"/>
          <w:sz w:val="28"/>
          <w:szCs w:val="28"/>
        </w:rPr>
        <w:t>范围：本文件规定了转换平台式集装箱的结构、通用要求、性能、尺寸与公差、零部件、焊接与无损检测、涂装等要求。本文件适用于转换平台式集装箱的设计、生产和使用。本文件不适用于公路和铁路运输的转换平台式集装箱。</w:t>
      </w:r>
    </w:p>
    <w:p w14:paraId="195BFBA9">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③</w:t>
      </w:r>
      <w:r>
        <w:rPr>
          <w:rFonts w:hint="eastAsia" w:ascii="宋体" w:hAnsi="宋体" w:eastAsia="宋体" w:cs="宋体"/>
          <w:sz w:val="28"/>
          <w:szCs w:val="28"/>
        </w:rPr>
        <w:t>引用标准：本文件中引用和参考了最新版的国内外先进标准，以充分保证本标准条款的可依性和可行性。本标准共规范性引用国家标准9 项、行业标准3项，上述标准均在标准条款中进行了规范性引用。</w:t>
      </w:r>
    </w:p>
    <w:p w14:paraId="038E8FED">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sz w:val="28"/>
          <w:szCs w:val="28"/>
          <w:lang w:val="en-US" w:eastAsia="zh-CN"/>
        </w:rPr>
        <w:t>④</w:t>
      </w:r>
      <w:r>
        <w:rPr>
          <w:rFonts w:hint="eastAsia" w:ascii="宋体" w:hAnsi="宋体" w:eastAsia="宋体" w:cs="宋体"/>
          <w:sz w:val="28"/>
          <w:szCs w:val="28"/>
        </w:rPr>
        <w:t>术语和定义：在术语编排中，充分参考了GB/T 1992《集装箱术语》GB/T 5338.5-2023《系列1 集装箱 技术要求和试验方法 第5部分 平台和台架式集装箱》，从最新、统一、简洁角度出发，给出了本标准中用到的“转换平台式集装箱”、“吊装角件”、“连接角件”、“纵向”、 “横向”</w:t>
      </w:r>
      <w:bookmarkStart w:id="10" w:name="OLE_LINK54"/>
      <w:r>
        <w:rPr>
          <w:rFonts w:hint="eastAsia" w:ascii="宋体" w:hAnsi="宋体" w:eastAsia="宋体" w:cs="宋体"/>
          <w:sz w:val="28"/>
          <w:szCs w:val="28"/>
        </w:rPr>
        <w:t>、“联挂单元”</w:t>
      </w:r>
      <w:bookmarkEnd w:id="10"/>
      <w:r>
        <w:rPr>
          <w:rFonts w:hint="eastAsia" w:ascii="宋体" w:hAnsi="宋体" w:eastAsia="宋体" w:cs="宋体"/>
          <w:sz w:val="28"/>
          <w:szCs w:val="28"/>
        </w:rPr>
        <w:t>、“</w:t>
      </w:r>
      <w:bookmarkStart w:id="11" w:name="OLE_LINK38"/>
      <w:r>
        <w:rPr>
          <w:rFonts w:hint="eastAsia" w:ascii="宋体" w:hAnsi="宋体" w:eastAsia="宋体" w:cs="宋体"/>
          <w:sz w:val="28"/>
          <w:szCs w:val="28"/>
        </w:rPr>
        <w:t>箱体对接</w:t>
      </w:r>
      <w:bookmarkEnd w:id="11"/>
      <w:r>
        <w:rPr>
          <w:rFonts w:hint="eastAsia" w:ascii="宋体" w:hAnsi="宋体" w:eastAsia="宋体" w:cs="宋体"/>
          <w:sz w:val="28"/>
          <w:szCs w:val="28"/>
        </w:rPr>
        <w:t>侧”的术语和定义。</w:t>
      </w:r>
    </w:p>
    <w:p w14:paraId="67B5D830">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sz w:val="28"/>
          <w:szCs w:val="28"/>
          <w:lang w:val="en-US" w:eastAsia="zh-CN"/>
        </w:rPr>
        <w:t>⑤</w:t>
      </w:r>
      <w:r>
        <w:rPr>
          <w:rFonts w:hint="eastAsia" w:ascii="宋体" w:hAnsi="宋体" w:eastAsia="宋体" w:cs="宋体"/>
          <w:sz w:val="28"/>
          <w:szCs w:val="28"/>
        </w:rPr>
        <w:t>结构：本章节主要规定</w:t>
      </w:r>
      <w:bookmarkStart w:id="12" w:name="OLE_LINK55"/>
      <w:r>
        <w:rPr>
          <w:rFonts w:hint="eastAsia" w:ascii="宋体" w:hAnsi="宋体" w:eastAsia="宋体" w:cs="宋体"/>
          <w:sz w:val="28"/>
          <w:szCs w:val="28"/>
        </w:rPr>
        <w:t>转换平台式集装箱的</w:t>
      </w:r>
      <w:bookmarkEnd w:id="12"/>
      <w:r>
        <w:rPr>
          <w:rFonts w:hint="eastAsia" w:ascii="宋体" w:hAnsi="宋体" w:eastAsia="宋体" w:cs="宋体"/>
          <w:sz w:val="28"/>
          <w:szCs w:val="28"/>
        </w:rPr>
        <w:t>结构型式，以及主要构件的名称。</w:t>
      </w:r>
    </w:p>
    <w:p w14:paraId="46E30B8B">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⑥</w:t>
      </w:r>
      <w:r>
        <w:rPr>
          <w:rFonts w:hint="eastAsia" w:ascii="宋体" w:hAnsi="宋体" w:eastAsia="宋体" w:cs="宋体"/>
          <w:sz w:val="28"/>
          <w:szCs w:val="28"/>
        </w:rPr>
        <w:t>通用要求：本章主要是对转换平台式集装箱的通用性要求，适用标准、环境温度、选材、角件、焊接、堆码、联挂成组等要求做了规定。</w:t>
      </w:r>
    </w:p>
    <w:p w14:paraId="0F3EAFBC">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sz w:val="28"/>
          <w:szCs w:val="28"/>
          <w:lang w:val="en-US" w:eastAsia="zh-CN"/>
        </w:rPr>
        <w:t>⑦</w:t>
      </w:r>
      <w:r>
        <w:rPr>
          <w:rFonts w:hint="eastAsia" w:ascii="宋体" w:hAnsi="宋体" w:eastAsia="宋体" w:cs="宋体"/>
          <w:sz w:val="28"/>
          <w:szCs w:val="28"/>
        </w:rPr>
        <w:t>性能：本章主要对转换平台式集装箱的性能要求做了规定。</w:t>
      </w:r>
    </w:p>
    <w:p w14:paraId="5DFA5FE6">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sz w:val="28"/>
          <w:szCs w:val="28"/>
          <w:lang w:val="en-US" w:eastAsia="zh-CN"/>
        </w:rPr>
        <w:t>⑧</w:t>
      </w:r>
      <w:r>
        <w:rPr>
          <w:rFonts w:hint="eastAsia" w:ascii="宋体" w:hAnsi="宋体" w:eastAsia="宋体" w:cs="宋体"/>
          <w:sz w:val="28"/>
          <w:szCs w:val="28"/>
        </w:rPr>
        <w:t>尺寸与公差：本章主要对转换平台式集装箱的尺寸要求和公差要求做了规定。</w:t>
      </w:r>
    </w:p>
    <w:p w14:paraId="3E5668BD">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sz w:val="28"/>
          <w:szCs w:val="28"/>
          <w:lang w:val="en-US" w:eastAsia="zh-CN"/>
        </w:rPr>
        <w:t>⑨</w:t>
      </w:r>
      <w:r>
        <w:rPr>
          <w:rFonts w:hint="eastAsia" w:ascii="宋体" w:hAnsi="宋体" w:eastAsia="宋体" w:cs="宋体"/>
          <w:sz w:val="28"/>
          <w:szCs w:val="28"/>
        </w:rPr>
        <w:t>零部件：本章主要对转换平台式集装箱各结构部件做了要求。</w:t>
      </w:r>
    </w:p>
    <w:p w14:paraId="3BF0521B">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sz w:val="28"/>
          <w:szCs w:val="28"/>
          <w:lang w:val="en-US" w:eastAsia="zh-CN"/>
        </w:rPr>
        <w:t>⑩</w:t>
      </w:r>
      <w:r>
        <w:rPr>
          <w:rFonts w:hint="eastAsia" w:ascii="宋体" w:hAnsi="宋体" w:eastAsia="宋体" w:cs="宋体"/>
          <w:sz w:val="28"/>
          <w:szCs w:val="28"/>
        </w:rPr>
        <w:t>焊接与无损检测：本章主要规定了转换平台式集装箱的焊接要求和无损检测要求。</w:t>
      </w:r>
    </w:p>
    <w:p w14:paraId="1CB222C8">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sz w:val="28"/>
          <w:szCs w:val="28"/>
        </w:rPr>
        <w:t>⑪涂装：本章主要规定了转换平台式集装箱的喷涂和标记要求。</w:t>
      </w:r>
    </w:p>
    <w:p w14:paraId="252E534E">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rPr>
        <w:t>⑫关于附录说明：附录给出了转换平台式集装箱的结构和组合示例和试验方法，便于参考使用</w:t>
      </w:r>
      <w:r>
        <w:rPr>
          <w:rFonts w:hint="eastAsia" w:ascii="宋体" w:hAnsi="宋体" w:eastAsia="宋体" w:cs="宋体"/>
          <w:sz w:val="28"/>
          <w:szCs w:val="28"/>
          <w:lang w:eastAsia="zh-CN"/>
        </w:rPr>
        <w:t>。</w:t>
      </w:r>
      <w:bookmarkStart w:id="13" w:name="_Toc230177586"/>
    </w:p>
    <w:p w14:paraId="3CA420BA">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黑体" w:hAnsi="黑体"/>
          <w:sz w:val="28"/>
          <w:szCs w:val="28"/>
        </w:rPr>
      </w:pPr>
      <w:r>
        <w:rPr>
          <w:rStyle w:val="21"/>
          <w:color w:val="000000" w:themeColor="text1"/>
          <w:sz w:val="28"/>
          <w:szCs w:val="28"/>
          <w14:textFill>
            <w14:solidFill>
              <w14:schemeClr w14:val="tx1"/>
            </w14:solidFill>
          </w14:textFill>
        </w:rPr>
        <w:t>三、主要试验（或验证）的分析、综述报告，技术经济论证，预期的经济效果</w:t>
      </w:r>
      <w:bookmarkEnd w:id="13"/>
    </w:p>
    <w:p w14:paraId="29C672F2">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本标准编制填补了我国转换平台式集装箱技术标准的空白，完成后预计达到国内、外先进水平，指导转换平台式集装箱的设计、生产和使用，对推进国内系列2集装箱铁水联运具有重要促进作用。</w:t>
      </w:r>
    </w:p>
    <w:p w14:paraId="18B411B1">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EE0000"/>
          <w:sz w:val="28"/>
          <w:szCs w:val="28"/>
        </w:rPr>
      </w:pPr>
      <w:r>
        <w:rPr>
          <w:rFonts w:hint="eastAsia" w:ascii="宋体" w:hAnsi="宋体" w:eastAsia="宋体" w:cs="宋体"/>
          <w:sz w:val="28"/>
          <w:szCs w:val="28"/>
        </w:rPr>
        <w:t>转换平台式集装箱已生产了4+1+4,4+3+4,4+4+4等多种组合型式的箱型，均按箱型进行了型式试验，并取得了中国船级社的产品检验证书。型式试验参考集装箱的试验要求，并满足其特殊的使用工况。</w:t>
      </w:r>
    </w:p>
    <w:p w14:paraId="5A8B723D">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转换平台式集装箱从2025年4月开始，</w:t>
      </w:r>
      <w:bookmarkStart w:id="14" w:name="OLE_LINK7"/>
      <w:r>
        <w:rPr>
          <w:rFonts w:hint="eastAsia" w:ascii="宋体" w:hAnsi="宋体" w:eastAsia="宋体" w:cs="宋体"/>
          <w:sz w:val="28"/>
          <w:szCs w:val="28"/>
        </w:rPr>
        <w:t>唐山港口实业集团有限公司组织将首批研发的4+1+4组合的转换平台式集装箱</w:t>
      </w:r>
      <w:bookmarkEnd w:id="14"/>
      <w:r>
        <w:rPr>
          <w:rFonts w:hint="eastAsia" w:ascii="宋体" w:hAnsi="宋体" w:eastAsia="宋体" w:cs="宋体"/>
          <w:sz w:val="28"/>
          <w:szCs w:val="28"/>
        </w:rPr>
        <w:t>，在京唐港—曹妃甸港、京唐港—秦皇岛港、秦皇岛港—大连港等多条之间的短距离运输船舶上进行了小批量的试运行试验。</w:t>
      </w:r>
    </w:p>
    <w:p w14:paraId="35DF5171">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2025年11月开始，唐山港口实业集团有限公司又组织将后续研发的4+3+4组合及4+4+4组合的转换平台式集装箱，在京唐港—钦州港航线进行长距离、大批量实船重载测试。</w:t>
      </w:r>
    </w:p>
    <w:p w14:paraId="7F01F8B7">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目前上述航行已进行了多次试运行验证，并</w:t>
      </w:r>
      <w:r>
        <w:rPr>
          <w:rFonts w:hint="eastAsia" w:ascii="宋体" w:hAnsi="宋体" w:eastAsia="宋体" w:cs="宋体"/>
          <w:sz w:val="28"/>
          <w:szCs w:val="28"/>
          <w:lang w:val="en-US" w:eastAsia="zh-CN"/>
        </w:rPr>
        <w:t>进入</w:t>
      </w:r>
      <w:r>
        <w:rPr>
          <w:rFonts w:hint="eastAsia" w:ascii="宋体" w:hAnsi="宋体" w:eastAsia="宋体" w:cs="宋体"/>
          <w:sz w:val="28"/>
          <w:szCs w:val="28"/>
        </w:rPr>
        <w:t>常态化试运行验证阶段。通过型式试验和实船试运行试验，验证了转换平台式集装箱的可行性和安全性。相应的技术要求已经过实践检验，技术条文和规定切合实际情况。此项技术的应用，解决了系列2集装箱的铁、水陆联运问题，提高了系列2集装箱船舶运输效率、减少了转换流程、降低了运行成本，增加了运行安全性，未来可带来十分巨大的经济效益和社会效益。</w:t>
      </w:r>
      <w:bookmarkStart w:id="15" w:name="_Toc230177587"/>
    </w:p>
    <w:p w14:paraId="7ACE6B50">
      <w:pPr>
        <w:pageBreakBefore w:val="0"/>
        <w:widowControl w:val="0"/>
        <w:kinsoku/>
        <w:overflowPunct/>
        <w:topLinePunct w:val="0"/>
        <w:autoSpaceDE/>
        <w:autoSpaceDN/>
        <w:bidi w:val="0"/>
        <w:adjustRightInd/>
        <w:snapToGrid/>
        <w:spacing w:line="360" w:lineRule="auto"/>
        <w:ind w:firstLine="560" w:firstLineChars="200"/>
        <w:jc w:val="left"/>
        <w:textAlignment w:val="auto"/>
        <w:rPr>
          <w:rStyle w:val="21"/>
          <w:rFonts w:hint="eastAsia"/>
          <w:color w:val="000000" w:themeColor="text1"/>
          <w:sz w:val="28"/>
          <w:szCs w:val="28"/>
          <w14:textFill>
            <w14:solidFill>
              <w14:schemeClr w14:val="tx1"/>
            </w14:solidFill>
          </w14:textFill>
        </w:rPr>
      </w:pPr>
      <w:r>
        <w:rPr>
          <w:rStyle w:val="21"/>
          <w:color w:val="000000" w:themeColor="text1"/>
          <w:sz w:val="28"/>
          <w:szCs w:val="28"/>
          <w14:textFill>
            <w14:solidFill>
              <w14:schemeClr w14:val="tx1"/>
            </w14:solidFill>
          </w14:textFill>
        </w:rPr>
        <w:t>四、采用国际标准和国外先进标准的程度</w:t>
      </w:r>
      <w:bookmarkEnd w:id="15"/>
    </w:p>
    <w:p w14:paraId="482D54BA">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国际上没有转换平台式集装箱相关规范的官方标准。目前转换平台式集装箱仅在国内运行，解决国内系列2集装箱铁水联运问题，属于国内外首创产品，国外没有涉及转换平台式集装箱的相关标准规范提交。编写过程中未采用和引用国际标准。</w:t>
      </w:r>
      <w:bookmarkStart w:id="16" w:name="_Toc230177588"/>
    </w:p>
    <w:p w14:paraId="2E08B53D">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color w:val="EE0000"/>
          <w:sz w:val="28"/>
          <w:szCs w:val="28"/>
        </w:rPr>
      </w:pPr>
      <w:r>
        <w:rPr>
          <w:rStyle w:val="21"/>
          <w:color w:val="000000" w:themeColor="text1"/>
          <w:sz w:val="28"/>
          <w:szCs w:val="28"/>
          <w14:textFill>
            <w14:solidFill>
              <w14:schemeClr w14:val="tx1"/>
            </w14:solidFill>
          </w14:textFill>
        </w:rPr>
        <w:t>五、与有关的现行法律、法规和强制性标准的关系</w:t>
      </w:r>
      <w:bookmarkEnd w:id="16"/>
    </w:p>
    <w:p w14:paraId="3C35E4CC">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rPr>
        <w:t>无</w:t>
      </w:r>
      <w:bookmarkStart w:id="17" w:name="_Toc230177589"/>
      <w:r>
        <w:rPr>
          <w:rFonts w:hint="eastAsia" w:ascii="宋体" w:hAnsi="宋体" w:eastAsia="宋体" w:cs="宋体"/>
          <w:sz w:val="28"/>
          <w:szCs w:val="28"/>
          <w:lang w:eastAsia="zh-CN"/>
        </w:rPr>
        <w:t>。</w:t>
      </w:r>
    </w:p>
    <w:p w14:paraId="1F1DB3EA">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color w:val="EE0000"/>
          <w:sz w:val="28"/>
          <w:szCs w:val="28"/>
        </w:rPr>
      </w:pPr>
      <w:r>
        <w:rPr>
          <w:rStyle w:val="21"/>
          <w:color w:val="000000" w:themeColor="text1"/>
          <w:sz w:val="28"/>
          <w:szCs w:val="28"/>
          <w14:textFill>
            <w14:solidFill>
              <w14:schemeClr w14:val="tx1"/>
            </w14:solidFill>
          </w14:textFill>
        </w:rPr>
        <w:t>六、重大分歧意见的处理经过和依据</w:t>
      </w:r>
      <w:bookmarkEnd w:id="17"/>
    </w:p>
    <w:p w14:paraId="7C12732E">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本标准在起草过程中未出现重大分歧意见。</w:t>
      </w:r>
      <w:bookmarkStart w:id="18" w:name="_Toc230177590"/>
    </w:p>
    <w:p w14:paraId="518BC7D0">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黑体" w:hAnsi="黑体"/>
          <w:sz w:val="28"/>
          <w:szCs w:val="28"/>
        </w:rPr>
      </w:pPr>
      <w:r>
        <w:rPr>
          <w:rStyle w:val="21"/>
          <w:color w:val="000000" w:themeColor="text1"/>
          <w:sz w:val="28"/>
          <w:szCs w:val="28"/>
          <w14:textFill>
            <w14:solidFill>
              <w14:schemeClr w14:val="tx1"/>
            </w14:solidFill>
          </w14:textFill>
        </w:rPr>
        <w:t>七、贯彻标准的要求和措施建议</w:t>
      </w:r>
      <w:bookmarkEnd w:id="18"/>
    </w:p>
    <w:p w14:paraId="177C4910">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建议尽快发布，在内贸集装箱散改集领域及相关运营单位、港口和航运单位试行，并调研试行情况，及时修订，保证技术要求的可操作性。实施标准的具体措施建议为：</w:t>
      </w:r>
    </w:p>
    <w:p w14:paraId="5A9E4232">
      <w:pPr>
        <w:pageBreakBefore w:val="0"/>
        <w:widowControl w:val="0"/>
        <w:numPr>
          <w:ilvl w:val="0"/>
          <w:numId w:val="2"/>
        </w:numPr>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本标准发布后分会及全体参编单位会通过会议、活动、行业专家视频公益讲课等方式贯彻实施；</w:t>
      </w:r>
    </w:p>
    <w:p w14:paraId="045E577A">
      <w:pPr>
        <w:pageBreakBefore w:val="0"/>
        <w:widowControl w:val="0"/>
        <w:numPr>
          <w:ilvl w:val="0"/>
          <w:numId w:val="2"/>
        </w:numPr>
        <w:kinsoku/>
        <w:overflowPunct/>
        <w:topLinePunct w:val="0"/>
        <w:autoSpaceDE/>
        <w:autoSpaceDN/>
        <w:bidi w:val="0"/>
        <w:adjustRightInd/>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在官方网站公布标准和宣贯材料；</w:t>
      </w:r>
    </w:p>
    <w:p w14:paraId="324E9898">
      <w:pPr>
        <w:pageBreakBefore w:val="0"/>
        <w:widowControl w:val="0"/>
        <w:numPr>
          <w:ilvl w:val="0"/>
          <w:numId w:val="2"/>
        </w:numPr>
        <w:kinsoku/>
        <w:overflowPunct/>
        <w:topLinePunct w:val="0"/>
        <w:autoSpaceDE/>
        <w:autoSpaceDN/>
        <w:bidi w:val="0"/>
        <w:adjustRightInd/>
        <w:snapToGrid/>
        <w:spacing w:line="360" w:lineRule="auto"/>
        <w:ind w:left="0" w:leftChars="0"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对使用单位进行培训和宣传普及；</w:t>
      </w:r>
    </w:p>
    <w:p w14:paraId="483C417C">
      <w:pPr>
        <w:pageBreakBefore w:val="0"/>
        <w:widowControl w:val="0"/>
        <w:numPr>
          <w:ilvl w:val="0"/>
          <w:numId w:val="2"/>
        </w:numPr>
        <w:kinsoku/>
        <w:overflowPunct/>
        <w:topLinePunct w:val="0"/>
        <w:autoSpaceDE/>
        <w:autoSpaceDN/>
        <w:bidi w:val="0"/>
        <w:adjustRightInd/>
        <w:snapToGrid/>
        <w:spacing w:line="360" w:lineRule="auto"/>
        <w:ind w:left="0" w:leftChars="0"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对实施情况进行总结、分析与评估</w:t>
      </w:r>
      <w:r>
        <w:rPr>
          <w:rFonts w:hint="eastAsia" w:ascii="宋体" w:hAnsi="宋体" w:eastAsia="宋体" w:cs="宋体"/>
          <w:color w:val="auto"/>
          <w:sz w:val="28"/>
          <w:szCs w:val="28"/>
          <w:lang w:eastAsia="zh-CN"/>
        </w:rPr>
        <w:t>；</w:t>
      </w:r>
    </w:p>
    <w:p w14:paraId="3B5A1E9A">
      <w:pPr>
        <w:pageBreakBefore w:val="0"/>
        <w:widowControl w:val="0"/>
        <w:numPr>
          <w:ilvl w:val="0"/>
          <w:numId w:val="2"/>
        </w:numPr>
        <w:kinsoku/>
        <w:overflowPunct/>
        <w:topLinePunct w:val="0"/>
        <w:autoSpaceDE/>
        <w:autoSpaceDN/>
        <w:bidi w:val="0"/>
        <w:adjustRightInd/>
        <w:snapToGrid/>
        <w:spacing w:line="360" w:lineRule="auto"/>
        <w:ind w:left="0" w:leftChars="0"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及时收集整理实施过程中的意见</w:t>
      </w:r>
      <w:bookmarkStart w:id="19" w:name="_Toc230177591"/>
      <w:r>
        <w:rPr>
          <w:rFonts w:hint="eastAsia" w:ascii="宋体" w:hAnsi="宋体" w:eastAsia="宋体" w:cs="宋体"/>
          <w:color w:val="auto"/>
          <w:sz w:val="28"/>
          <w:szCs w:val="28"/>
          <w:lang w:eastAsia="zh-CN"/>
        </w:rPr>
        <w:t>。</w:t>
      </w:r>
    </w:p>
    <w:p w14:paraId="18F5FC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left"/>
        <w:textAlignment w:val="auto"/>
        <w:rPr>
          <w:rFonts w:hint="eastAsia" w:ascii="黑体" w:hAnsi="黑体"/>
          <w:color w:val="EE0000"/>
          <w:sz w:val="28"/>
          <w:szCs w:val="28"/>
        </w:rPr>
      </w:pPr>
      <w:r>
        <w:rPr>
          <w:rStyle w:val="21"/>
          <w:color w:val="auto"/>
          <w:sz w:val="28"/>
          <w:szCs w:val="28"/>
        </w:rPr>
        <w:t>八、废止现</w:t>
      </w:r>
      <w:r>
        <w:rPr>
          <w:rStyle w:val="21"/>
          <w:color w:val="000000" w:themeColor="text1"/>
          <w:sz w:val="28"/>
          <w:szCs w:val="28"/>
          <w14:textFill>
            <w14:solidFill>
              <w14:schemeClr w14:val="tx1"/>
            </w14:solidFill>
          </w14:textFill>
        </w:rPr>
        <w:t>行有关标准的建议</w:t>
      </w:r>
      <w:bookmarkEnd w:id="19"/>
    </w:p>
    <w:p w14:paraId="44FBF42E">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本标准是第一次制订，未有需要废止的现行相关标准。</w:t>
      </w:r>
      <w:bookmarkStart w:id="20" w:name="_Toc230177592"/>
    </w:p>
    <w:p w14:paraId="33DB989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sz w:val="28"/>
          <w:szCs w:val="28"/>
        </w:rPr>
      </w:pPr>
      <w:r>
        <w:rPr>
          <w:rStyle w:val="21"/>
          <w:color w:val="000000" w:themeColor="text1"/>
          <w:sz w:val="28"/>
          <w:szCs w:val="28"/>
          <w14:textFill>
            <w14:solidFill>
              <w14:schemeClr w14:val="tx1"/>
            </w14:solidFill>
          </w14:textFill>
        </w:rPr>
        <w:t>九、其他应予说明的事项</w:t>
      </w:r>
      <w:bookmarkEnd w:id="20"/>
    </w:p>
    <w:p w14:paraId="33A98620">
      <w:pPr>
        <w:pageBreakBefore w:val="0"/>
        <w:widowControl w:val="0"/>
        <w:kinsoku/>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rPr>
        <w:t>无</w:t>
      </w:r>
      <w:r>
        <w:rPr>
          <w:rFonts w:hint="eastAsia" w:ascii="宋体" w:hAnsi="宋体" w:eastAsia="宋体" w:cs="宋体"/>
          <w:sz w:val="28"/>
          <w:szCs w:val="28"/>
          <w:lang w:eastAsia="zh-CN"/>
        </w:rPr>
        <w:t>。</w:t>
      </w:r>
    </w:p>
    <w:p w14:paraId="2CBC335D">
      <w:pPr>
        <w:pageBreakBefore w:val="0"/>
        <w:widowControl w:val="0"/>
        <w:kinsoku/>
        <w:overflowPunct/>
        <w:topLinePunct w:val="0"/>
        <w:autoSpaceDE/>
        <w:autoSpaceDN/>
        <w:bidi w:val="0"/>
        <w:adjustRightInd/>
        <w:snapToGrid/>
        <w:spacing w:line="360" w:lineRule="auto"/>
        <w:ind w:firstLine="800" w:firstLineChars="200"/>
        <w:jc w:val="center"/>
        <w:textAlignment w:val="auto"/>
        <w:rPr>
          <w:rFonts w:ascii="Arial" w:hAnsi="Arial" w:cs="Arial"/>
          <w:sz w:val="40"/>
          <w:szCs w:val="40"/>
        </w:rPr>
      </w:pPr>
    </w:p>
    <w:p w14:paraId="07FF0B64">
      <w:pPr>
        <w:pageBreakBefore w:val="0"/>
        <w:widowControl w:val="0"/>
        <w:kinsoku/>
        <w:overflowPunct/>
        <w:topLinePunct w:val="0"/>
        <w:autoSpaceDE/>
        <w:autoSpaceDN/>
        <w:bidi w:val="0"/>
        <w:adjustRightInd/>
        <w:snapToGrid/>
        <w:spacing w:line="360" w:lineRule="auto"/>
        <w:ind w:firstLine="800" w:firstLineChars="200"/>
        <w:jc w:val="center"/>
        <w:textAlignment w:val="auto"/>
        <w:rPr>
          <w:rFonts w:ascii="Arial" w:hAnsi="Arial" w:cs="Arial"/>
          <w:sz w:val="40"/>
          <w:szCs w:val="40"/>
        </w:rPr>
      </w:pPr>
    </w:p>
    <w:p w14:paraId="656B1F08">
      <w:pPr>
        <w:pageBreakBefore w:val="0"/>
        <w:widowControl w:val="0"/>
        <w:kinsoku/>
        <w:wordWrap w:val="0"/>
        <w:overflowPunct/>
        <w:topLinePunct w:val="0"/>
        <w:autoSpaceDE/>
        <w:autoSpaceDN/>
        <w:bidi w:val="0"/>
        <w:adjustRightInd/>
        <w:snapToGrid/>
        <w:spacing w:line="360" w:lineRule="auto"/>
        <w:ind w:firstLine="560" w:firstLineChars="200"/>
        <w:jc w:val="right"/>
        <w:textAlignment w:val="auto"/>
        <w:rPr>
          <w:rFonts w:hint="eastAsia" w:ascii="宋体" w:hAnsi="宋体" w:eastAsia="宋体" w:cs="宋体"/>
          <w:sz w:val="28"/>
          <w:szCs w:val="28"/>
        </w:rPr>
      </w:pPr>
      <w:r>
        <w:rPr>
          <w:rFonts w:hint="eastAsia" w:ascii="宋体" w:hAnsi="宋体" w:eastAsia="宋体" w:cs="宋体"/>
          <w:sz w:val="28"/>
          <w:szCs w:val="28"/>
        </w:rPr>
        <w:t xml:space="preserve">标准起草工作组     </w:t>
      </w:r>
    </w:p>
    <w:p w14:paraId="67760CFA">
      <w:pPr>
        <w:pageBreakBefore w:val="0"/>
        <w:widowControl w:val="0"/>
        <w:kinsoku/>
        <w:wordWrap w:val="0"/>
        <w:overflowPunct/>
        <w:topLinePunct w:val="0"/>
        <w:autoSpaceDE/>
        <w:autoSpaceDN/>
        <w:bidi w:val="0"/>
        <w:adjustRightInd/>
        <w:snapToGrid/>
        <w:spacing w:line="360" w:lineRule="auto"/>
        <w:ind w:firstLine="560" w:firstLineChars="200"/>
        <w:jc w:val="right"/>
        <w:textAlignment w:val="auto"/>
        <w:rPr>
          <w:rFonts w:hint="eastAsia" w:ascii="宋体" w:hAnsi="宋体" w:eastAsia="宋体" w:cs="宋体"/>
          <w:sz w:val="28"/>
          <w:szCs w:val="28"/>
        </w:rPr>
      </w:pPr>
      <w:r>
        <w:rPr>
          <w:rFonts w:hint="eastAsia" w:ascii="宋体" w:hAnsi="宋体" w:eastAsia="宋体" w:cs="宋体"/>
          <w:sz w:val="28"/>
          <w:szCs w:val="28"/>
        </w:rPr>
        <w:t>2026年</w:t>
      </w:r>
      <w:r>
        <w:rPr>
          <w:rFonts w:hint="eastAsia" w:ascii="宋体" w:hAnsi="宋体" w:eastAsia="宋体" w:cs="宋体"/>
          <w:sz w:val="28"/>
          <w:szCs w:val="28"/>
          <w:lang w:val="en-US" w:eastAsia="zh-CN"/>
        </w:rPr>
        <w:t>5</w:t>
      </w:r>
      <w:r>
        <w:rPr>
          <w:rFonts w:hint="eastAsia" w:ascii="宋体" w:hAnsi="宋体" w:eastAsia="宋体" w:cs="宋体"/>
          <w:sz w:val="28"/>
          <w:szCs w:val="28"/>
        </w:rPr>
        <w:t xml:space="preserve">月       </w:t>
      </w:r>
    </w:p>
    <w:sectPr>
      <w:footerReference r:id="rId7" w:type="default"/>
      <w:pgSz w:w="11906" w:h="16838"/>
      <w:pgMar w:top="2098" w:right="1417" w:bottom="1701" w:left="141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Emoji">
    <w:panose1 w:val="020B0502040204020203"/>
    <w:charset w:val="00"/>
    <w:family w:val="swiss"/>
    <w:pitch w:val="default"/>
    <w:sig w:usb0="00000001" w:usb1="02000000" w:usb2="08000000" w:usb3="00000000" w:csb0="00000001"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D2302">
    <w:pPr>
      <w:pStyle w:val="12"/>
      <w:jc w:val="center"/>
      <w:rPr>
        <w:rFonts w:hint="eastAsia"/>
      </w:rPr>
    </w:pPr>
  </w:p>
  <w:p w14:paraId="68B7B049">
    <w:pPr>
      <w:pStyle w:val="12"/>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8C75B">
    <w:pPr>
      <w:pStyle w:val="12"/>
      <w:jc w:val="center"/>
      <w:rPr>
        <w:rFonts w:hint="eastAsia"/>
      </w:rPr>
    </w:pPr>
  </w:p>
  <w:p w14:paraId="2CD418A9">
    <w:pPr>
      <w:pStyle w:val="12"/>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89B5C">
    <w:pPr>
      <w:pStyle w:val="12"/>
      <w:jc w:val="center"/>
      <w:rPr>
        <w:rFonts w:hint="eastAsia"/>
      </w:rPr>
    </w:pPr>
  </w:p>
  <w:p w14:paraId="30C4422A">
    <w:pPr>
      <w:pStyle w:val="12"/>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17ACB">
    <w:pPr>
      <w:pStyle w:val="12"/>
      <w:jc w:val="center"/>
      <w:rPr>
        <w:rFonts w:hint="eastAsia"/>
      </w:rPr>
    </w:pPr>
  </w:p>
  <w:p w14:paraId="3838E9B2">
    <w:pPr>
      <w:pStyle w:val="12"/>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3110E">
    <w:pPr>
      <w:pStyle w:val="12"/>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9EC908">
                          <w:pPr>
                            <w:pStyle w:val="12"/>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29EC908">
                    <w:pPr>
                      <w:pStyle w:val="12"/>
                    </w:pPr>
                    <w:r>
                      <w:fldChar w:fldCharType="begin"/>
                    </w:r>
                    <w:r>
                      <w:instrText xml:space="preserve"> PAGE  \* MERGEFORMAT </w:instrText>
                    </w:r>
                    <w:r>
                      <w:fldChar w:fldCharType="separate"/>
                    </w:r>
                    <w:r>
                      <w:t>ii</w:t>
                    </w:r>
                    <w:r>
                      <w:fldChar w:fldCharType="end"/>
                    </w:r>
                  </w:p>
                </w:txbxContent>
              </v:textbox>
            </v:shape>
          </w:pict>
        </mc:Fallback>
      </mc:AlternateContent>
    </w:r>
  </w:p>
  <w:p w14:paraId="1E012016">
    <w:pPr>
      <w:pStyle w:val="12"/>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2A4E14"/>
    <w:multiLevelType w:val="singleLevel"/>
    <w:tmpl w:val="D72A4E14"/>
    <w:lvl w:ilvl="0" w:tentative="0">
      <w:start w:val="1"/>
      <w:numFmt w:val="decimal"/>
      <w:suff w:val="space"/>
      <w:lvlText w:val="%1."/>
      <w:lvlJc w:val="left"/>
    </w:lvl>
  </w:abstractNum>
  <w:abstractNum w:abstractNumId="1">
    <w:nsid w:val="E899A8D4"/>
    <w:multiLevelType w:val="singleLevel"/>
    <w:tmpl w:val="E899A8D4"/>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5FA"/>
    <w:rsid w:val="00015117"/>
    <w:rsid w:val="000547AA"/>
    <w:rsid w:val="00092A11"/>
    <w:rsid w:val="000B4FF0"/>
    <w:rsid w:val="000E089D"/>
    <w:rsid w:val="001A0E2E"/>
    <w:rsid w:val="001B54BD"/>
    <w:rsid w:val="001D38AB"/>
    <w:rsid w:val="001D68EA"/>
    <w:rsid w:val="001F06EE"/>
    <w:rsid w:val="001F1400"/>
    <w:rsid w:val="00236B73"/>
    <w:rsid w:val="00244751"/>
    <w:rsid w:val="00250B4A"/>
    <w:rsid w:val="002523A3"/>
    <w:rsid w:val="00277A49"/>
    <w:rsid w:val="00294BA5"/>
    <w:rsid w:val="002A6737"/>
    <w:rsid w:val="002B2772"/>
    <w:rsid w:val="002D3F3C"/>
    <w:rsid w:val="002D74C2"/>
    <w:rsid w:val="00331077"/>
    <w:rsid w:val="00335B3F"/>
    <w:rsid w:val="0035219E"/>
    <w:rsid w:val="00364C4F"/>
    <w:rsid w:val="0037351B"/>
    <w:rsid w:val="003F1177"/>
    <w:rsid w:val="004375FA"/>
    <w:rsid w:val="0044332A"/>
    <w:rsid w:val="00473D1E"/>
    <w:rsid w:val="004C40B6"/>
    <w:rsid w:val="0052217F"/>
    <w:rsid w:val="0054761A"/>
    <w:rsid w:val="005C1497"/>
    <w:rsid w:val="005D0D27"/>
    <w:rsid w:val="0065371F"/>
    <w:rsid w:val="00683D75"/>
    <w:rsid w:val="006D3B88"/>
    <w:rsid w:val="007F1A25"/>
    <w:rsid w:val="007F64AF"/>
    <w:rsid w:val="0084542B"/>
    <w:rsid w:val="00884247"/>
    <w:rsid w:val="008D1BBB"/>
    <w:rsid w:val="008F17DC"/>
    <w:rsid w:val="00943724"/>
    <w:rsid w:val="00961655"/>
    <w:rsid w:val="00965AF4"/>
    <w:rsid w:val="009A10A4"/>
    <w:rsid w:val="009A76FE"/>
    <w:rsid w:val="00A31095"/>
    <w:rsid w:val="00A47778"/>
    <w:rsid w:val="00AC3190"/>
    <w:rsid w:val="00AD29BC"/>
    <w:rsid w:val="00B277F9"/>
    <w:rsid w:val="00B44D1E"/>
    <w:rsid w:val="00B53655"/>
    <w:rsid w:val="00B8389F"/>
    <w:rsid w:val="00B86E62"/>
    <w:rsid w:val="00BA102F"/>
    <w:rsid w:val="00BB732D"/>
    <w:rsid w:val="00BE0ADA"/>
    <w:rsid w:val="00BF64C7"/>
    <w:rsid w:val="00BF6AEE"/>
    <w:rsid w:val="00C42C80"/>
    <w:rsid w:val="00C81840"/>
    <w:rsid w:val="00C92B40"/>
    <w:rsid w:val="00CE0D76"/>
    <w:rsid w:val="00D2629C"/>
    <w:rsid w:val="00DA68AB"/>
    <w:rsid w:val="00DF1320"/>
    <w:rsid w:val="00E05541"/>
    <w:rsid w:val="00E209FA"/>
    <w:rsid w:val="00E47339"/>
    <w:rsid w:val="00E5069F"/>
    <w:rsid w:val="00E70FE1"/>
    <w:rsid w:val="00E757C2"/>
    <w:rsid w:val="00E76179"/>
    <w:rsid w:val="00E8671E"/>
    <w:rsid w:val="00E947F3"/>
    <w:rsid w:val="00EC096A"/>
    <w:rsid w:val="00EE11FB"/>
    <w:rsid w:val="00F17046"/>
    <w:rsid w:val="00F74758"/>
    <w:rsid w:val="00F8083C"/>
    <w:rsid w:val="00FA028F"/>
    <w:rsid w:val="03463A74"/>
    <w:rsid w:val="053242B0"/>
    <w:rsid w:val="090716A9"/>
    <w:rsid w:val="0958005D"/>
    <w:rsid w:val="0B3643CE"/>
    <w:rsid w:val="0CD10852"/>
    <w:rsid w:val="14B545B5"/>
    <w:rsid w:val="15E06243"/>
    <w:rsid w:val="160752E5"/>
    <w:rsid w:val="16CC6370"/>
    <w:rsid w:val="19377D42"/>
    <w:rsid w:val="1C8A7C36"/>
    <w:rsid w:val="1CD04682"/>
    <w:rsid w:val="1F7E03C6"/>
    <w:rsid w:val="25F018F1"/>
    <w:rsid w:val="28F6721F"/>
    <w:rsid w:val="2AA07D99"/>
    <w:rsid w:val="2C0E487F"/>
    <w:rsid w:val="2EEA15D4"/>
    <w:rsid w:val="33D12D62"/>
    <w:rsid w:val="37685395"/>
    <w:rsid w:val="38B43F5B"/>
    <w:rsid w:val="3AD76784"/>
    <w:rsid w:val="3C522566"/>
    <w:rsid w:val="3CF655E7"/>
    <w:rsid w:val="409B4DCD"/>
    <w:rsid w:val="40B05AAD"/>
    <w:rsid w:val="41FD2F74"/>
    <w:rsid w:val="422C0DC4"/>
    <w:rsid w:val="4329074B"/>
    <w:rsid w:val="476B0980"/>
    <w:rsid w:val="49AE2DA6"/>
    <w:rsid w:val="49E47EA9"/>
    <w:rsid w:val="4A597367"/>
    <w:rsid w:val="4C435588"/>
    <w:rsid w:val="4EFF657E"/>
    <w:rsid w:val="543B00DA"/>
    <w:rsid w:val="57EA58F1"/>
    <w:rsid w:val="5C814A76"/>
    <w:rsid w:val="5FAD7930"/>
    <w:rsid w:val="666176C6"/>
    <w:rsid w:val="67FF2CF3"/>
    <w:rsid w:val="6D483EE7"/>
    <w:rsid w:val="6DC72505"/>
    <w:rsid w:val="77BC475C"/>
    <w:rsid w:val="79D20267"/>
    <w:rsid w:val="79E461EC"/>
    <w:rsid w:val="7B134E72"/>
    <w:rsid w:val="7D295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21"/>
    <w:qFormat/>
    <w:uiPriority w:val="9"/>
    <w:pPr>
      <w:keepNext/>
      <w:keepLines/>
      <w:spacing w:before="480" w:after="80"/>
      <w:outlineLvl w:val="0"/>
    </w:pPr>
    <w:rPr>
      <w:rFonts w:eastAsia="黑体" w:asciiTheme="majorHAnsi" w:hAnsiTheme="majorHAnsi" w:cstheme="majorBidi"/>
      <w:color w:val="104862" w:themeColor="accent1" w:themeShade="BF"/>
      <w:sz w:val="28"/>
      <w:szCs w:val="48"/>
    </w:rPr>
  </w:style>
  <w:style w:type="paragraph" w:styleId="3">
    <w:name w:val="heading 2"/>
    <w:basedOn w:val="1"/>
    <w:next w:val="1"/>
    <w:link w:val="22"/>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3"/>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toc 3"/>
    <w:basedOn w:val="1"/>
    <w:next w:val="1"/>
    <w:autoRedefine/>
    <w:unhideWhenUsed/>
    <w:qFormat/>
    <w:uiPriority w:val="39"/>
    <w:pPr>
      <w:widowControl/>
      <w:spacing w:after="100" w:line="259" w:lineRule="auto"/>
      <w:ind w:left="440"/>
      <w:jc w:val="left"/>
    </w:pPr>
    <w:rPr>
      <w:rFonts w:cs="Times New Roman"/>
      <w:kern w:val="0"/>
      <w:sz w:val="22"/>
      <w14:ligatures w14:val="none"/>
    </w:rPr>
  </w:style>
  <w:style w:type="paragraph" w:styleId="12">
    <w:name w:val="footer"/>
    <w:basedOn w:val="1"/>
    <w:link w:val="40"/>
    <w:unhideWhenUsed/>
    <w:qFormat/>
    <w:uiPriority w:val="99"/>
    <w:pPr>
      <w:tabs>
        <w:tab w:val="center" w:pos="4153"/>
        <w:tab w:val="right" w:pos="8306"/>
      </w:tabs>
      <w:snapToGrid w:val="0"/>
      <w:jc w:val="left"/>
    </w:pPr>
    <w:rPr>
      <w:sz w:val="18"/>
      <w:szCs w:val="18"/>
    </w:rPr>
  </w:style>
  <w:style w:type="paragraph" w:styleId="13">
    <w:name w:val="header"/>
    <w:basedOn w:val="1"/>
    <w:link w:val="39"/>
    <w:unhideWhenUsed/>
    <w:qFormat/>
    <w:uiPriority w:val="99"/>
    <w:pPr>
      <w:tabs>
        <w:tab w:val="center" w:pos="4153"/>
        <w:tab w:val="right" w:pos="8306"/>
      </w:tabs>
      <w:snapToGrid w:val="0"/>
      <w:jc w:val="center"/>
    </w:pPr>
    <w:rPr>
      <w:sz w:val="18"/>
      <w:szCs w:val="18"/>
    </w:rPr>
  </w:style>
  <w:style w:type="paragraph" w:styleId="14">
    <w:name w:val="toc 1"/>
    <w:basedOn w:val="1"/>
    <w:next w:val="1"/>
    <w:autoRedefine/>
    <w:unhideWhenUsed/>
    <w:qFormat/>
    <w:uiPriority w:val="39"/>
    <w:pPr>
      <w:widowControl/>
      <w:spacing w:after="100" w:line="259" w:lineRule="auto"/>
      <w:ind w:left="420" w:hanging="420" w:hangingChars="200"/>
      <w:jc w:val="left"/>
    </w:pPr>
    <w:rPr>
      <w:rFonts w:cs="Times New Roman"/>
      <w:kern w:val="0"/>
      <w:sz w:val="22"/>
      <w14:ligatures w14:val="none"/>
    </w:rPr>
  </w:style>
  <w:style w:type="paragraph" w:styleId="15">
    <w:name w:val="Subtitle"/>
    <w:basedOn w:val="1"/>
    <w:next w:val="1"/>
    <w:link w:val="3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toc 2"/>
    <w:basedOn w:val="1"/>
    <w:next w:val="1"/>
    <w:autoRedefine/>
    <w:unhideWhenUsed/>
    <w:qFormat/>
    <w:uiPriority w:val="39"/>
    <w:pPr>
      <w:widowControl/>
      <w:spacing w:after="100" w:line="259" w:lineRule="auto"/>
      <w:ind w:left="220" w:hanging="420" w:hangingChars="200"/>
      <w:jc w:val="left"/>
    </w:pPr>
    <w:rPr>
      <w:rFonts w:cs="Times New Roman"/>
      <w:kern w:val="0"/>
      <w:sz w:val="22"/>
      <w14:ligatures w14:val="none"/>
    </w:rPr>
  </w:style>
  <w:style w:type="paragraph" w:styleId="17">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20">
    <w:name w:val="Hyperlink"/>
    <w:basedOn w:val="19"/>
    <w:autoRedefine/>
    <w:unhideWhenUsed/>
    <w:qFormat/>
    <w:uiPriority w:val="99"/>
    <w:rPr>
      <w:color w:val="467886" w:themeColor="hyperlink"/>
      <w:u w:val="single"/>
      <w14:textFill>
        <w14:solidFill>
          <w14:schemeClr w14:val="hlink"/>
        </w14:solidFill>
      </w14:textFill>
    </w:rPr>
  </w:style>
  <w:style w:type="character" w:customStyle="1" w:styleId="21">
    <w:name w:val="标题 1 字符"/>
    <w:basedOn w:val="19"/>
    <w:link w:val="2"/>
    <w:qFormat/>
    <w:uiPriority w:val="9"/>
    <w:rPr>
      <w:rFonts w:eastAsia="黑体" w:asciiTheme="majorHAnsi" w:hAnsiTheme="majorHAnsi" w:cstheme="majorBidi"/>
      <w:color w:val="104862" w:themeColor="accent1" w:themeShade="BF"/>
      <w:sz w:val="28"/>
      <w:szCs w:val="48"/>
    </w:rPr>
  </w:style>
  <w:style w:type="character" w:customStyle="1" w:styleId="22">
    <w:name w:val="标题 2 字符"/>
    <w:basedOn w:val="19"/>
    <w:link w:val="3"/>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9"/>
    <w:link w:val="4"/>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9"/>
    <w:link w:val="5"/>
    <w:semiHidden/>
    <w:qFormat/>
    <w:uiPriority w:val="9"/>
    <w:rPr>
      <w:rFonts w:cstheme="majorBidi"/>
      <w:color w:val="104862" w:themeColor="accent1" w:themeShade="BF"/>
      <w:sz w:val="28"/>
      <w:szCs w:val="28"/>
    </w:rPr>
  </w:style>
  <w:style w:type="character" w:customStyle="1" w:styleId="25">
    <w:name w:val="标题 5 字符"/>
    <w:basedOn w:val="19"/>
    <w:link w:val="6"/>
    <w:semiHidden/>
    <w:qFormat/>
    <w:uiPriority w:val="9"/>
    <w:rPr>
      <w:rFonts w:cstheme="majorBidi"/>
      <w:color w:val="104862" w:themeColor="accent1" w:themeShade="BF"/>
      <w:sz w:val="24"/>
      <w:szCs w:val="24"/>
    </w:rPr>
  </w:style>
  <w:style w:type="character" w:customStyle="1" w:styleId="26">
    <w:name w:val="标题 6 字符"/>
    <w:basedOn w:val="19"/>
    <w:link w:val="7"/>
    <w:semiHidden/>
    <w:qFormat/>
    <w:uiPriority w:val="9"/>
    <w:rPr>
      <w:rFonts w:cstheme="majorBidi"/>
      <w:b/>
      <w:bCs/>
      <w:color w:val="104862" w:themeColor="accent1" w:themeShade="BF"/>
    </w:rPr>
  </w:style>
  <w:style w:type="character" w:customStyle="1" w:styleId="27">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9"/>
    <w:link w:val="17"/>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9"/>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9"/>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Intense Emphasis"/>
    <w:basedOn w:val="19"/>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9"/>
    <w:link w:val="36"/>
    <w:qFormat/>
    <w:uiPriority w:val="30"/>
    <w:rPr>
      <w:i/>
      <w:iCs/>
      <w:color w:val="104862" w:themeColor="accent1" w:themeShade="BF"/>
    </w:rPr>
  </w:style>
  <w:style w:type="character" w:customStyle="1" w:styleId="38">
    <w:name w:val="Intense Reference"/>
    <w:basedOn w:val="19"/>
    <w:qFormat/>
    <w:uiPriority w:val="32"/>
    <w:rPr>
      <w:b/>
      <w:bCs/>
      <w:smallCaps/>
      <w:color w:val="104862" w:themeColor="accent1" w:themeShade="BF"/>
      <w:spacing w:val="5"/>
    </w:rPr>
  </w:style>
  <w:style w:type="character" w:customStyle="1" w:styleId="39">
    <w:name w:val="页眉 字符"/>
    <w:basedOn w:val="19"/>
    <w:link w:val="13"/>
    <w:qFormat/>
    <w:uiPriority w:val="99"/>
    <w:rPr>
      <w:sz w:val="18"/>
      <w:szCs w:val="18"/>
    </w:rPr>
  </w:style>
  <w:style w:type="character" w:customStyle="1" w:styleId="40">
    <w:name w:val="页脚 字符"/>
    <w:basedOn w:val="19"/>
    <w:link w:val="12"/>
    <w:qFormat/>
    <w:uiPriority w:val="99"/>
    <w:rPr>
      <w:sz w:val="18"/>
      <w:szCs w:val="18"/>
    </w:rPr>
  </w:style>
  <w:style w:type="paragraph" w:customStyle="1" w:styleId="41">
    <w:name w:val="标题3"/>
    <w:basedOn w:val="1"/>
    <w:link w:val="42"/>
    <w:qFormat/>
    <w:uiPriority w:val="0"/>
    <w:pPr>
      <w:spacing w:line="360" w:lineRule="auto"/>
      <w:jc w:val="left"/>
    </w:pPr>
    <w:rPr>
      <w:rFonts w:ascii="黑体" w:hAnsi="黑体" w:eastAsia="黑体"/>
      <w:sz w:val="28"/>
      <w:szCs w:val="28"/>
    </w:rPr>
  </w:style>
  <w:style w:type="character" w:customStyle="1" w:styleId="42">
    <w:name w:val="标题3 字符"/>
    <w:basedOn w:val="19"/>
    <w:link w:val="41"/>
    <w:qFormat/>
    <w:uiPriority w:val="0"/>
    <w:rPr>
      <w:rFonts w:ascii="黑体" w:hAnsi="黑体" w:eastAsia="黑体"/>
      <w:sz w:val="28"/>
      <w:szCs w:val="28"/>
    </w:rPr>
  </w:style>
  <w:style w:type="paragraph" w:customStyle="1" w:styleId="43">
    <w:name w:val="TOC Heading"/>
    <w:basedOn w:val="2"/>
    <w:next w:val="1"/>
    <w:unhideWhenUsed/>
    <w:qFormat/>
    <w:uiPriority w:val="39"/>
    <w:pPr>
      <w:widowControl/>
      <w:spacing w:before="240" w:after="0" w:line="259" w:lineRule="auto"/>
      <w:jc w:val="left"/>
      <w:outlineLvl w:val="9"/>
    </w:pPr>
    <w:rPr>
      <w:kern w:val="0"/>
      <w:sz w:val="32"/>
      <w:szCs w:val="32"/>
      <w14:ligatures w14: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C105C0-7C1A-4418-B9DA-7F95ABF8B3F8}">
  <ds:schemaRefs/>
</ds:datastoreItem>
</file>

<file path=docProps/app.xml><?xml version="1.0" encoding="utf-8"?>
<Properties xmlns="http://schemas.openxmlformats.org/officeDocument/2006/extended-properties" xmlns:vt="http://schemas.openxmlformats.org/officeDocument/2006/docPropsVTypes">
  <Template>Normal</Template>
  <Pages>11</Pages>
  <Words>4406</Words>
  <Characters>4666</Characters>
  <Lines>40</Lines>
  <Paragraphs>11</Paragraphs>
  <TotalTime>4</TotalTime>
  <ScaleCrop>false</ScaleCrop>
  <LinksUpToDate>false</LinksUpToDate>
  <CharactersWithSpaces>4797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2026-01-04T06:24:00Z</dcterms:created>
  <dc:creator>hy</dc:creator>
  <cp:lastModifiedBy>Administrator</cp:lastModifiedBy>
  <dcterms:modified xsi:type="dcterms:W3CDTF">2026-05-25T05:49:26Z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eyJoZGlkIjoiZGNjMTE5NWE3YzM2OWMzMGJmODhhZmEyMGVlMjNlNDMiLCJ1c2VySWQiOiIxNjYwNjg0ODUxIn0=</vt:lpwstr>
  </property>
  <property fmtid="{D5CDD505-2E9C-101B-9397-08002B2CF9AE}" pid="3" name="KSOProductBuildVer">
    <vt:lpwstr>2052-12.1.0.25865</vt:lpwstr>
  </property>
  <property fmtid="{D5CDD505-2E9C-101B-9397-08002B2CF9AE}" pid="4" name="ICV">
    <vt:lpwstr>5D45CD18E0E044E2A8A3CC1E403BB27D_12</vt:lpwstr>
  </property>
</Properties>
</file>