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附件一:</w:t>
      </w:r>
    </w:p>
    <w:p>
      <w:pPr>
        <w:jc w:val="center"/>
        <w:rPr>
          <w:rFonts w:hint="eastAsia" w:ascii="黑体" w:hAnsi="黑体" w:eastAsia="黑体"/>
          <w:bCs/>
          <w:sz w:val="36"/>
          <w:szCs w:val="36"/>
        </w:rPr>
      </w:pPr>
      <w:r>
        <w:rPr>
          <w:rFonts w:hint="eastAsia" w:ascii="黑体" w:hAnsi="黑体" w:eastAsia="黑体"/>
          <w:bCs/>
          <w:sz w:val="36"/>
          <w:szCs w:val="36"/>
        </w:rPr>
        <w:t>“2020年度(下半年)全国港口培训计划”一览表</w:t>
      </w:r>
    </w:p>
    <w:tbl>
      <w:tblPr>
        <w:tblStyle w:val="4"/>
        <w:tblW w:w="5157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3095"/>
        <w:gridCol w:w="3836"/>
        <w:gridCol w:w="5524"/>
        <w:gridCol w:w="986"/>
        <w:gridCol w:w="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序号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名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称</w:t>
            </w:r>
          </w:p>
        </w:tc>
        <w:tc>
          <w:tcPr>
            <w:tcW w:w="1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对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象</w:t>
            </w:r>
          </w:p>
        </w:tc>
        <w:tc>
          <w:tcPr>
            <w:tcW w:w="1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主要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内容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时间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9" w:hRule="atLeast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全国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港口安全管理与防台防汛培训班</w:t>
            </w:r>
          </w:p>
        </w:tc>
        <w:tc>
          <w:tcPr>
            <w:tcW w:w="1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/>
                <w:bCs/>
                <w:sz w:val="28"/>
                <w:szCs w:val="28"/>
              </w:rPr>
              <w:t>港口安全管理与现场作业人员、码头生产管理和调度人员、现场作业指导员、堆场管理人员、气象监测和监控预警的工作人员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等</w:t>
            </w:r>
          </w:p>
        </w:tc>
        <w:tc>
          <w:tcPr>
            <w:tcW w:w="1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/>
                <w:bCs/>
                <w:sz w:val="28"/>
                <w:szCs w:val="28"/>
              </w:rPr>
              <w:t>港口事故预防与强化管理；港口重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要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危险节点安全管控；港口典型事故案例分析；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港口安全应急管理解决方案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；防台防汛应急预案流程；防台措施的案例分享；港口大型机械防阵风防台风的安全措施介绍；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全息化气象预警与决策系统的建设;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码头堆场的防台作业和保护措施；现场指挥调度的工作流程等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7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月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/>
                <w:bCs/>
                <w:sz w:val="28"/>
                <w:szCs w:val="28"/>
              </w:rPr>
              <w:t>湛江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全国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港口生产计划调度与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码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头事故处理培训班</w:t>
            </w:r>
          </w:p>
        </w:tc>
        <w:tc>
          <w:tcPr>
            <w:tcW w:w="1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/>
                <w:bCs/>
                <w:sz w:val="28"/>
                <w:szCs w:val="28"/>
              </w:rPr>
              <w:t>港口生产计划、调度、业务、装卸作业指导员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，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安全监察、现场业务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相关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人员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等</w:t>
            </w:r>
          </w:p>
        </w:tc>
        <w:tc>
          <w:tcPr>
            <w:tcW w:w="1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/>
                <w:bCs/>
                <w:sz w:val="28"/>
                <w:szCs w:val="28"/>
              </w:rPr>
              <w:t>港口生产计划与调度；港口装卸调度模式选择；港口码头事故处理实务；船港货商务管理等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8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月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厦门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仿宋" w:hAnsi="仿宋" w:eastAsia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全国港口商务费收与商务处理培训班</w:t>
            </w:r>
          </w:p>
        </w:tc>
        <w:tc>
          <w:tcPr>
            <w:tcW w:w="1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港口企业的费收、统计、核算、商务合同和理赔相关人员等</w:t>
            </w:r>
          </w:p>
        </w:tc>
        <w:tc>
          <w:tcPr>
            <w:tcW w:w="1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政策解读；港口价格改革应对方案研究；各港口费收实务介绍；港口码头货损货差风险防范处理；商务管理案例分析等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8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月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厦门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全国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港口人力资源与企业文化运行管理培训班</w:t>
            </w:r>
          </w:p>
        </w:tc>
        <w:tc>
          <w:tcPr>
            <w:tcW w:w="1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Cs/>
                <w:sz w:val="28"/>
                <w:szCs w:val="28"/>
              </w:rPr>
              <w:t>港口企业负责人力资源、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企业文化、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定额、考核、劳动合同、职工教育培训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等人员</w:t>
            </w:r>
          </w:p>
        </w:tc>
        <w:tc>
          <w:tcPr>
            <w:tcW w:w="1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港口企业文化精神；人才素质培养与提升；企业的凝聚力和综合竞争力；码头定额计件考核；人事管理沟通与关系协调；薪酬体系框架；岗位价值与岗位定级办法；定岗、定编、定权责书、定级、定任职资格、定预算的全套体系；劳动合同法；如何构建支撑企业战略的评价体系和企业文化等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9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月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eastAsia="zh-CN"/>
              </w:rPr>
              <w:t>重庆</w:t>
            </w:r>
          </w:p>
        </w:tc>
      </w:tr>
    </w:tbl>
    <w:p>
      <w:pPr>
        <w:spacing w:line="0" w:lineRule="atLeast"/>
        <w:jc w:val="center"/>
        <w:rPr>
          <w:rFonts w:hint="eastAsia" w:ascii="仿宋" w:hAnsi="仿宋" w:eastAsia="仿宋"/>
          <w:bCs/>
          <w:sz w:val="28"/>
          <w:szCs w:val="28"/>
          <w:lang w:val="en-US" w:eastAsia="zh-CN"/>
        </w:rPr>
        <w:sectPr>
          <w:footerReference r:id="rId3" w:type="default"/>
          <w:footerReference r:id="rId4" w:type="even"/>
          <w:pgSz w:w="16838" w:h="11906" w:orient="landscape"/>
          <w:pgMar w:top="1039" w:right="1134" w:bottom="1207" w:left="1134" w:header="851" w:footer="992" w:gutter="0"/>
          <w:pgNumType w:fmt="decimal" w:start="1"/>
          <w:cols w:space="425" w:num="1"/>
          <w:docGrid w:type="lines" w:linePitch="312" w:charSpace="0"/>
        </w:sectPr>
      </w:pPr>
    </w:p>
    <w:tbl>
      <w:tblPr>
        <w:tblStyle w:val="4"/>
        <w:tblW w:w="5157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3095"/>
        <w:gridCol w:w="3836"/>
        <w:gridCol w:w="5524"/>
        <w:gridCol w:w="986"/>
        <w:gridCol w:w="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atLeast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全国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港口企业法律与商务人员培训班</w:t>
            </w:r>
          </w:p>
        </w:tc>
        <w:tc>
          <w:tcPr>
            <w:tcW w:w="1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Cs/>
                <w:sz w:val="28"/>
                <w:szCs w:val="28"/>
              </w:rPr>
              <w:t>港口企业有关法律事务、业务（商务）、财务、保险理赔事务等相关人员</w:t>
            </w:r>
          </w:p>
        </w:tc>
        <w:tc>
          <w:tcPr>
            <w:tcW w:w="1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Cs/>
                <w:sz w:val="28"/>
                <w:szCs w:val="28"/>
              </w:rPr>
              <w:t>与港口企业相关的国家法律法规；港口企业有关货物交接、事故处理等商务与法律事务；港口经营人合法权益维护等相应措施与对策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；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运输法规与相关货运公约等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10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月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Cs/>
                <w:sz w:val="28"/>
                <w:szCs w:val="28"/>
              </w:rPr>
              <w:t>西安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全国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“智慧港口”建设与管理培训班</w:t>
            </w:r>
          </w:p>
        </w:tc>
        <w:tc>
          <w:tcPr>
            <w:tcW w:w="1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港口码头信息化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部门、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IT主管、自动化装备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操作人员、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技术人员、理货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人员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等</w:t>
            </w:r>
          </w:p>
        </w:tc>
        <w:tc>
          <w:tcPr>
            <w:tcW w:w="1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码头可视化智能管控系统的应用；AI人工智能操作平台介绍；全自动化码头系统创新和经验分享；智能化码头装卸转运系统案例分享；5G、无人驾驶、北斗系统、区块链、边缘计算、时空大数据与时空云平台在港口中的应用等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11月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Cs/>
                <w:sz w:val="28"/>
                <w:szCs w:val="28"/>
              </w:rPr>
              <w:t>成都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3" w:hRule="atLeast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全国</w:t>
            </w:r>
            <w:r>
              <w:rPr>
                <w:rFonts w:ascii="仿宋" w:hAnsi="仿宋" w:eastAsia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多式联运专业培训班</w:t>
            </w:r>
          </w:p>
        </w:tc>
        <w:tc>
          <w:tcPr>
            <w:tcW w:w="1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港口、码头、铁路、航运、陆港、无水港、公路港、陆港产业（商贸）园区、物流园、各相关规划设计建设单位、高等院校、研究机构等相关单位的负责人员、研究人员、管理人员</w:t>
            </w: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等</w:t>
            </w:r>
          </w:p>
        </w:tc>
        <w:tc>
          <w:tcPr>
            <w:tcW w:w="1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多式联运相关政策解读与发展趋势分析；</w:t>
            </w: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通关一体化相关政策与规定解读</w:t>
            </w:r>
            <w:r>
              <w:rPr>
                <w:rFonts w:ascii="仿宋" w:hAnsi="仿宋" w:eastAsia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“单一窗口”相关政策解读；</w:t>
            </w:r>
            <w:r>
              <w:rPr>
                <w:rFonts w:ascii="仿宋" w:hAnsi="仿宋" w:eastAsia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公铁联运、海铁联运</w:t>
            </w: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的发展现状及对策；</w:t>
            </w:r>
            <w:r>
              <w:rPr>
                <w:rFonts w:ascii="仿宋" w:hAnsi="仿宋" w:eastAsia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水运港口与内陆港（无水港）的联动发展；国际班列开行</w:t>
            </w: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情况、</w:t>
            </w:r>
            <w:r>
              <w:rPr>
                <w:rFonts w:ascii="仿宋" w:hAnsi="仿宋" w:eastAsia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业务流程、运营方式、组织管理和创新发展；单证（提单、运单、票据）及规则制度等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ascii="仿宋" w:hAnsi="仿宋" w:eastAsia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成都</w:t>
            </w:r>
          </w:p>
        </w:tc>
      </w:tr>
    </w:tbl>
    <w:p>
      <w:pPr>
        <w:spacing w:line="0" w:lineRule="atLeast"/>
        <w:rPr>
          <w:rFonts w:ascii="仿宋" w:hAnsi="仿宋" w:eastAsia="仿宋"/>
          <w:bCs/>
          <w:sz w:val="28"/>
          <w:szCs w:val="28"/>
        </w:rPr>
      </w:pPr>
    </w:p>
    <w:p>
      <w:pPr>
        <w:spacing w:line="0" w:lineRule="atLeast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注：培训开班事宜将另行发送正式通知</w:t>
      </w:r>
      <w:bookmarkStart w:id="0" w:name="_GoBack"/>
      <w:bookmarkEnd w:id="0"/>
    </w:p>
    <w:sectPr>
      <w:footerReference r:id="rId5" w:type="default"/>
      <w:pgSz w:w="16838" w:h="11906" w:orient="landscape"/>
      <w:pgMar w:top="1039" w:right="1134" w:bottom="1207" w:left="1134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enter" w:pos="7285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rPr>
                              <w:rStyle w:val="6"/>
                              <w:rFonts w:hint="eastAsia"/>
                              <w:lang w:val="en-US" w:eastAsia="zh-CN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rFonts w:hint="eastAsia" w:eastAsia="宋体"/>
                        <w:lang w:val="en-US" w:eastAsia="zh-CN"/>
                      </w:rPr>
                    </w:pPr>
                    <w:r>
                      <w:rPr>
                        <w:rStyle w:val="6"/>
                        <w:rFonts w:hint="eastAsia"/>
                        <w:lang w:val="en-US" w:eastAsia="zh-CN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enter" w:pos="7285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rPr>
                              <w:rStyle w:val="6"/>
                              <w:rFonts w:hint="eastAsia"/>
                              <w:lang w:val="en-US" w:eastAsia="zh-CN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ObJgco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rFonts w:hint="eastAsia" w:eastAsia="宋体"/>
                        <w:lang w:val="en-US" w:eastAsia="zh-CN"/>
                      </w:rPr>
                    </w:pPr>
                    <w:r>
                      <w:rPr>
                        <w:rStyle w:val="6"/>
                        <w:rFonts w:hint="eastAsia"/>
                        <w:lang w:val="en-US" w:eastAsia="zh-CN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4B5"/>
    <w:rsid w:val="00044142"/>
    <w:rsid w:val="001014DF"/>
    <w:rsid w:val="00194773"/>
    <w:rsid w:val="001A2BA9"/>
    <w:rsid w:val="00232370"/>
    <w:rsid w:val="00241010"/>
    <w:rsid w:val="00267A4E"/>
    <w:rsid w:val="002B109F"/>
    <w:rsid w:val="002C4373"/>
    <w:rsid w:val="002D37E4"/>
    <w:rsid w:val="002F26C5"/>
    <w:rsid w:val="002F4609"/>
    <w:rsid w:val="003501FF"/>
    <w:rsid w:val="003908CF"/>
    <w:rsid w:val="004A25DA"/>
    <w:rsid w:val="004D3744"/>
    <w:rsid w:val="0055774E"/>
    <w:rsid w:val="005643FB"/>
    <w:rsid w:val="00573C5F"/>
    <w:rsid w:val="00585B69"/>
    <w:rsid w:val="005D3E8B"/>
    <w:rsid w:val="006244D5"/>
    <w:rsid w:val="006725A8"/>
    <w:rsid w:val="006B04B5"/>
    <w:rsid w:val="006E09CF"/>
    <w:rsid w:val="006F103E"/>
    <w:rsid w:val="0072229B"/>
    <w:rsid w:val="0074026F"/>
    <w:rsid w:val="00793C98"/>
    <w:rsid w:val="007D5905"/>
    <w:rsid w:val="007F37B8"/>
    <w:rsid w:val="00846BAF"/>
    <w:rsid w:val="0088331F"/>
    <w:rsid w:val="0089366F"/>
    <w:rsid w:val="008F5D49"/>
    <w:rsid w:val="009167C6"/>
    <w:rsid w:val="00954EC4"/>
    <w:rsid w:val="009935DE"/>
    <w:rsid w:val="009941B2"/>
    <w:rsid w:val="009D32EC"/>
    <w:rsid w:val="00A02B6B"/>
    <w:rsid w:val="00B2139A"/>
    <w:rsid w:val="00B82E0D"/>
    <w:rsid w:val="00BE4BEC"/>
    <w:rsid w:val="00C220EE"/>
    <w:rsid w:val="00C7366F"/>
    <w:rsid w:val="00CB401F"/>
    <w:rsid w:val="00CB7475"/>
    <w:rsid w:val="00CF004B"/>
    <w:rsid w:val="00D22B2E"/>
    <w:rsid w:val="00D341F4"/>
    <w:rsid w:val="00D42448"/>
    <w:rsid w:val="00E37583"/>
    <w:rsid w:val="00EA2A08"/>
    <w:rsid w:val="00F22F62"/>
    <w:rsid w:val="00F3602C"/>
    <w:rsid w:val="00FA5B6B"/>
    <w:rsid w:val="00FE2B4E"/>
    <w:rsid w:val="00FF0735"/>
    <w:rsid w:val="0C071430"/>
    <w:rsid w:val="0C2268FB"/>
    <w:rsid w:val="11CB1747"/>
    <w:rsid w:val="23B54BA4"/>
    <w:rsid w:val="23FF774F"/>
    <w:rsid w:val="38AF40EC"/>
    <w:rsid w:val="3D9F6A2E"/>
    <w:rsid w:val="47B855E2"/>
    <w:rsid w:val="4A7A25CF"/>
    <w:rsid w:val="4AFC1E90"/>
    <w:rsid w:val="4D01118A"/>
    <w:rsid w:val="51E80E8D"/>
    <w:rsid w:val="67AB41E0"/>
    <w:rsid w:val="6F4150EE"/>
    <w:rsid w:val="760733EC"/>
    <w:rsid w:val="78ED2158"/>
    <w:rsid w:val="7D93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3</Pages>
  <Words>324</Words>
  <Characters>1850</Characters>
  <Lines>15</Lines>
  <Paragraphs>4</Paragraphs>
  <TotalTime>0</TotalTime>
  <ScaleCrop>false</ScaleCrop>
  <LinksUpToDate>false</LinksUpToDate>
  <CharactersWithSpaces>2170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2019-10-10T05:55:00Z</dcterms:created>
  <dc:creator>jy z</dc:creator>
  <cp:lastModifiedBy>Administrator</cp:lastModifiedBy>
  <cp:lastPrinted>2019-10-16T04:00:00Z</cp:lastPrinted>
  <dcterms:modified xsi:type="dcterms:W3CDTF">2020-05-28T06:47:21Z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