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 w:cs="仿宋"/>
          <w:b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附件一:</w:t>
      </w:r>
    </w:p>
    <w:p>
      <w:pPr>
        <w:jc w:val="center"/>
        <w:rPr>
          <w:rFonts w:hint="eastAsia" w:ascii="黑体" w:hAnsi="黑体" w:eastAsia="黑体"/>
          <w:b/>
          <w:color w:val="0000FF"/>
          <w:sz w:val="24"/>
          <w:szCs w:val="24"/>
          <w:lang w:eastAsia="zh-CN"/>
        </w:rPr>
      </w:pPr>
      <w:r>
        <w:rPr>
          <w:rFonts w:hint="eastAsia" w:ascii="黑体" w:hAnsi="黑体" w:eastAsia="黑体"/>
          <w:b/>
          <w:sz w:val="32"/>
          <w:szCs w:val="32"/>
        </w:rPr>
        <w:t>“202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/>
          <w:b/>
          <w:sz w:val="32"/>
          <w:szCs w:val="32"/>
        </w:rPr>
        <w:t>年度全国港口培训计划”一览表</w:t>
      </w:r>
    </w:p>
    <w:tbl>
      <w:tblPr>
        <w:tblStyle w:val="5"/>
        <w:tblW w:w="4871" w:type="pct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"/>
        <w:gridCol w:w="3104"/>
        <w:gridCol w:w="3718"/>
        <w:gridCol w:w="66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3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0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1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培训对象</w:t>
            </w:r>
          </w:p>
        </w:tc>
        <w:tc>
          <w:tcPr>
            <w:tcW w:w="23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培训内容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7" w:hRule="atLeast"/>
        </w:trPr>
        <w:tc>
          <w:tcPr>
            <w:tcW w:w="30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全国港口市场营销与货运质量管理培训班</w:t>
            </w:r>
          </w:p>
        </w:tc>
        <w:tc>
          <w:tcPr>
            <w:tcW w:w="1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政策研究、市场研究、市场营销、业务管理、客户服务、货运质量管理、库场及仓储管理等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相关人员</w:t>
            </w:r>
          </w:p>
        </w:tc>
        <w:tc>
          <w:tcPr>
            <w:tcW w:w="23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全球经济贸易形势下港口发展的机遇和挑战；港口内贸集装箱高质量发展探讨；互联网市场运营平台建设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港口市场营销组合策略；市场营销方案；港口行业营销理论；港口市场营销实践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港口揽货技巧；现代化物流管理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航线业务的拓展技巧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港口码头货损货差有关案例；合同管理与商务保险理赔；港口质量管理及应急处理等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5" w:hRule="atLeast"/>
        </w:trPr>
        <w:tc>
          <w:tcPr>
            <w:tcW w:w="30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全国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“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绿色港口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”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建设与发展培训班</w:t>
            </w:r>
          </w:p>
        </w:tc>
        <w:tc>
          <w:tcPr>
            <w:tcW w:w="1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港口码头、航运企业、工程规划设计单位、科研院所等相关人员</w:t>
            </w:r>
          </w:p>
        </w:tc>
        <w:tc>
          <w:tcPr>
            <w:tcW w:w="23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码头排污许可规范重点内容介绍；绿色港口等级评价指南相关实施细则；绿色港口建设经验分享；打造“碳达峰、碳中和”绿色示范港口；绿色生态型港口体系建设与思考；危废污染物接收、转运及处置设施建设方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；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风力发电、光伏发电、潮汐发电前沿技术在港口中的应用；生态环境保护、粉尘治理与监测、港口清洁生产、机械能量回收等相关新技术在港口中的应用等。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6" w:hRule="atLeast"/>
        </w:trPr>
        <w:tc>
          <w:tcPr>
            <w:tcW w:w="30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全国港口商务费收与商务处理培训班</w:t>
            </w:r>
          </w:p>
        </w:tc>
        <w:tc>
          <w:tcPr>
            <w:tcW w:w="1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港口企业的费收、统计、核算、商务合同和理赔相关人员</w:t>
            </w:r>
          </w:p>
          <w:p>
            <w:pPr>
              <w:spacing w:line="0" w:lineRule="atLeast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港口费收最新的调整政策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介绍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；港口价格改革应对方案研究；各港口费收实务介绍；港口作业费用标准的制定和管控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优化收费公示制度和收费服务模式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未来港口费收政策走向；港口码头货损货差风险防范处理；商务管理案例分析等。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6" w:hRule="atLeast"/>
        </w:trPr>
        <w:tc>
          <w:tcPr>
            <w:tcW w:w="30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hint="default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0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全国“智慧港口”建设与管理培训班</w:t>
            </w:r>
          </w:p>
        </w:tc>
        <w:tc>
          <w:tcPr>
            <w:tcW w:w="1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港口码头信息化部门、IT主管、自动化装备操作人员、技术人员、理货人员等</w:t>
            </w:r>
          </w:p>
        </w:tc>
        <w:tc>
          <w:tcPr>
            <w:tcW w:w="23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“智慧港口”有关政策解读；港口数字化发展与大数据应用的创新探索与实践研究；码头可视化智能管控系统的应用；智能化码头装卸转运系统案例分享；人工智能、5G、无人驾驶、北斗系统、区块链、边缘计算、时空大数据与时空云平台在港口中的应用；智慧港口建设的布局规划、网络安全、系统运维等实践探索；港口全数字化协同生产系统创新；建设海铁联运自动化集装箱码头的实践探索；传统集装箱码头智能化升级改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6" w:hRule="atLeast"/>
        </w:trPr>
        <w:tc>
          <w:tcPr>
            <w:tcW w:w="30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hint="default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0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全国港口多式联运高质量发展培训班</w:t>
            </w:r>
          </w:p>
        </w:tc>
        <w:tc>
          <w:tcPr>
            <w:tcW w:w="1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港口、码头、铁路、航运、陆港、无水港、公路港、陆港产业（商贸）园区、物流园、规划设计建设单位、高等院校、研究机构等相关负责人员、管理人员</w:t>
            </w:r>
          </w:p>
        </w:tc>
        <w:tc>
          <w:tcPr>
            <w:tcW w:w="23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交通运输服务构建新发展格局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的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相关工作介绍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多式联运相关政策解读与发展趋势分析；通关一体化相关政策与规定解读；多式联运业务流程、运营方式、组织管理和创新发展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深化国际贸易“单一窗口”功能；多式联运“一单制”探索;多式联运信息交换标准体系建设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公铁联运、海铁联运的发展现状及对策；海铁联运、集港运输案例分享；航线业务的拓展技巧；水运港口与内陆港（无水港）的联动发展；内陆港发展多式联运中存在的问题及解决方法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单证（提单、运单、票据）及规则制度等。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7" w:hRule="atLeast"/>
        </w:trPr>
        <w:tc>
          <w:tcPr>
            <w:tcW w:w="30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0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全国港口安全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生产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与防台防汛培训班</w:t>
            </w:r>
          </w:p>
        </w:tc>
        <w:tc>
          <w:tcPr>
            <w:tcW w:w="1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港口安全管理与现场作业人员、码头生产管理和调度人员、现场作业指导员、堆场管理人员、气象监测和监控预警的工作人员等</w:t>
            </w:r>
          </w:p>
        </w:tc>
        <w:tc>
          <w:tcPr>
            <w:tcW w:w="23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港口危险货物安全法律法规体系、标准规范等相关政策解读；港口典型事故案例分析；重大事故妥善处理的方式方法；港口事故预防与强化管理；港口重要危险节点安全管控；港口危险货物安全监督检查规范和实务；港口安全应急管理解决方案；防台防汛应急预案流程；防台措施的案例分享；港口大型机械防阵风防台风的安全措施介绍；码头堆场的防台作业和保护措施；现场指挥调度的工作流程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3" w:hRule="atLeast"/>
        </w:trPr>
        <w:tc>
          <w:tcPr>
            <w:tcW w:w="30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0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全国港口设备管理与维修培训班</w:t>
            </w:r>
          </w:p>
        </w:tc>
        <w:tc>
          <w:tcPr>
            <w:tcW w:w="1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设备维修和管理人员，备件维护工程师、机械和电气维修工程师，设备管理工程师，设备使用和维修技师或技术骨干等</w:t>
            </w:r>
          </w:p>
        </w:tc>
        <w:tc>
          <w:tcPr>
            <w:tcW w:w="23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港口设备状态检测、故障诊断、维护管理；电气设备的维护与管理；港作机械设备维护技巧；特种设备安全管理、液压设备故障诊断及维修等；港口设备中变频器应用问题探析；港口设备液压技术的应用与故障分析；港口机械设备在润滑管理中的不足及应对措施；运用数字化、智能化、可视化等技术维护和维修的案例分享等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3" w:hRule="atLeast"/>
        </w:trPr>
        <w:tc>
          <w:tcPr>
            <w:tcW w:w="30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0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全国港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航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企业财务管理及税务筹划与处理培训班</w:t>
            </w:r>
          </w:p>
        </w:tc>
        <w:tc>
          <w:tcPr>
            <w:tcW w:w="1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default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会计、财务、税务等相关人员</w:t>
            </w:r>
          </w:p>
        </w:tc>
        <w:tc>
          <w:tcPr>
            <w:tcW w:w="23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最新财税政策汇总解析；财务管理；资金管理及费用管理；全面预算管理；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统一核算管理；财务结算中心建设；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年中税会差异处理及汇算清缴实务案例；内部管理报表分析技能提升；《纳税申报表》调整及企业财务报表格式最新变化、个税难点；年终总账处理等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</w:trPr>
        <w:tc>
          <w:tcPr>
            <w:tcW w:w="30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0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全国港口企业班组长管理能力提升培训班</w:t>
            </w:r>
          </w:p>
        </w:tc>
        <w:tc>
          <w:tcPr>
            <w:tcW w:w="1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港口企业班组长、一线部门主管、生产业务管理和班组建设管理人员等</w:t>
            </w:r>
          </w:p>
        </w:tc>
        <w:tc>
          <w:tcPr>
            <w:tcW w:w="23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现代班组管理技巧实务；班组长管理的核心要素；组织中常见的沟通障碍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主管职场精神与职业品质；一线主管综合能力提升；班组的沟通艺术、职业心理及班组文化建设；建立创建型、学习型、智能型班组等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2" w:hRule="atLeast"/>
        </w:trPr>
        <w:tc>
          <w:tcPr>
            <w:tcW w:w="30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0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全国港口企业党建工作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与党史学习教育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培训班</w:t>
            </w:r>
          </w:p>
        </w:tc>
        <w:tc>
          <w:tcPr>
            <w:tcW w:w="1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党务、政工、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文化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等相关人员</w:t>
            </w:r>
          </w:p>
          <w:p>
            <w:pPr>
              <w:spacing w:line="0" w:lineRule="atLeast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中国共产党百年奋斗的光辉历程；学习贯彻习近平总书记关于党的建设的重要论述；新时代干部理想信念与担当作为；基层党建工作创新与党支部标准化、规范化建设；党建为生产赋能，以高质量党建推动企业高质量发展；身临其境 深化感悟，“缅怀先烈、不忘初心” 红色主题实践教育活动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8" w:hRule="atLeast"/>
        </w:trPr>
        <w:tc>
          <w:tcPr>
            <w:tcW w:w="30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0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全国港口生产计划调度与码头事故处理培训班</w:t>
            </w:r>
          </w:p>
        </w:tc>
        <w:tc>
          <w:tcPr>
            <w:tcW w:w="1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港口生产计划、调度、业务、装卸作业指导员，安全监察、现场业务相关人员等</w:t>
            </w:r>
          </w:p>
        </w:tc>
        <w:tc>
          <w:tcPr>
            <w:tcW w:w="23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港口码头事故处理实务；港口生产计划与调度；智能调度方法；生产调度控制要点与技巧；调度问题优化方案；港口装卸调度模式选择；船港货商务管理等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7" w:hRule="atLeast"/>
        </w:trPr>
        <w:tc>
          <w:tcPr>
            <w:tcW w:w="30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0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全国港口人力资源与企业文化运行管理培训班</w:t>
            </w:r>
          </w:p>
        </w:tc>
        <w:tc>
          <w:tcPr>
            <w:tcW w:w="1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港口企业负责人力资源、企业文化、定额、考核、劳动合同、职工教育培训等人员</w:t>
            </w:r>
          </w:p>
          <w:p>
            <w:pPr>
              <w:spacing w:line="0" w:lineRule="atLeast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人事档案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管理；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薪酬、绩效、招聘、培训、管理等人力资源业务知识；工时转换绩效考核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劳动合同法；个税筹划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人才素质培养与提升；港口企业人才管理及优化；企业的凝聚力和综合竞争力；码头定额计件考核；人事管理沟通与关系协调；岗位价值与岗位定级办法；定岗、定编、定权责书、定级、定任职资格、定预算的全套体系；如何构建支撑企业战略的评价体系和企业文化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7" w:hRule="atLeast"/>
        </w:trPr>
        <w:tc>
          <w:tcPr>
            <w:tcW w:w="30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0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全国港口企业法律与商务人员培训班</w:t>
            </w:r>
          </w:p>
        </w:tc>
        <w:tc>
          <w:tcPr>
            <w:tcW w:w="1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港口企业有关法律事务、业务（商务）、财务、保险理赔事务等相关人员</w:t>
            </w:r>
          </w:p>
        </w:tc>
        <w:tc>
          <w:tcPr>
            <w:tcW w:w="23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港口企业相关国家法律法规；港口经营中的法律风险案例及防范体系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；港口合同法律纠纷案件实务案例；港口货物纠纷的处置案例；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合规管理体系建设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eastAsia="zh-Hans"/>
                <w14:textFill>
                  <w14:solidFill>
                    <w14:schemeClr w14:val="tx1"/>
                  </w14:solidFill>
                </w14:textFill>
              </w:rPr>
              <w:t>码头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货物交接、事故处理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eastAsia="zh-Hans"/>
                <w14:textFill>
                  <w14:solidFill>
                    <w14:schemeClr w14:val="tx1"/>
                  </w14:solidFill>
                </w14:textFill>
              </w:rPr>
              <w:t>等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商务法律事务；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eastAsia="zh-Hans"/>
                <w14:textFill>
                  <w14:solidFill>
                    <w14:schemeClr w14:val="tx1"/>
                  </w14:solidFill>
                </w14:textFill>
              </w:rPr>
              <w:t>船舶触碰码头事故处理；港口事故保险理赔实务；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港口经营人合法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eastAsia="zh-Hans"/>
                <w14:textFill>
                  <w14:solidFill>
                    <w14:schemeClr w14:val="tx1"/>
                  </w14:solidFill>
                </w14:textFill>
              </w:rPr>
              <w:t>维权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相应措施与对策；运输法规与相关货运公约等。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2" w:hRule="atLeast"/>
        </w:trPr>
        <w:tc>
          <w:tcPr>
            <w:tcW w:w="30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0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全国港口企业内部控制与风险管理培训班</w:t>
            </w:r>
          </w:p>
        </w:tc>
        <w:tc>
          <w:tcPr>
            <w:tcW w:w="1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董事会、监事会成员；企业中高层管理人员；风险管理部、内控部、内审部、财务部、采购部等需要实施风险管理及内部控制的各层级管理者，主管和其他管理人员，以及其他职能部门的经理和管理人员等</w:t>
            </w:r>
          </w:p>
          <w:p>
            <w:pPr>
              <w:spacing w:line="0" w:lineRule="atLeast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内控管理和内部审计管理规定解读；企业风险防范；新时期内部审计能力与创新；现代组织治理、内部控制和风险管理；战略导向内部审计质量控制；企业改制重组操作实务与风险防范；内部控制规范体系；港口企业合规的实务案例；预算绩效指标与标准体系构建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管理审计、新审计业务讲解（绩效审计、信息化审计、合同审计）；业务循环中的内控实务；内部审计实战技巧；内部审计与反舞弊实务；分享在企业风险管理和内控实践过程中的经验和体会。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2" w:hRule="atLeast"/>
        </w:trPr>
        <w:tc>
          <w:tcPr>
            <w:tcW w:w="30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0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全国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港航物流企业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堆场与仓储管理及装卸技术培训班</w:t>
            </w:r>
          </w:p>
        </w:tc>
        <w:tc>
          <w:tcPr>
            <w:tcW w:w="1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堆场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管理和仓储管理人员，生产调度、装卸作业指导员，装卸工艺员及相关人员等</w:t>
            </w:r>
          </w:p>
          <w:p>
            <w:pPr>
              <w:spacing w:line="0" w:lineRule="atLeast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堆场与仓储安全管理规定；智能仓储建立及运作管理的方法与技术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；智能化仓储及物流管理；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自动化堆场综合管理系统设计；堆场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与仓储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管理系统解决方案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转运堆场管理系统应用；港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航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企业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现场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装卸实务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案例分析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；船、港、货交接责任和事故处理办法；货损货差事故处理与保险理赔；大单元装卸搬运技术及应用；现代物流装卸技术优化策略及案例分析；重大件装卸工艺研究；装卸工艺标准等。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1" w:hRule="atLeast"/>
        </w:trPr>
        <w:tc>
          <w:tcPr>
            <w:tcW w:w="30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0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全国港口企业采购与供应链管理培训班</w:t>
            </w:r>
          </w:p>
        </w:tc>
        <w:tc>
          <w:tcPr>
            <w:tcW w:w="1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招标、采购、生产和供应链、合同管理、工程管理、财务、法律事务等相关人员</w:t>
            </w:r>
          </w:p>
        </w:tc>
        <w:tc>
          <w:tcPr>
            <w:tcW w:w="23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最新法规政策解读；集中采购存在问题及对策;供应商选择与评估；供应链管理与运作；供应链管理战略与领导能力；采购谈判技巧；采购成本管理；采购合同管理；采购战略及风险控制；《国有企业采购管理规范》简要解读；企业招标采购模式创新与合规制度构建；招标采购关键程序、痛点和热点问题解析与法律风险防范；网上采购平台建设和运营管理；智慧采购平台解决方案；招标采购单位内控制度建设有关问题；评标过程中存在的问题；采购组织形式和采购方式管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3" w:hRule="atLeast"/>
        </w:trPr>
        <w:tc>
          <w:tcPr>
            <w:tcW w:w="30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0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全国港口企业行政管理工作实务培训班 </w:t>
            </w:r>
          </w:p>
        </w:tc>
        <w:tc>
          <w:tcPr>
            <w:tcW w:w="1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办公室、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董事会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、总经理工作部、经理办、综合管理部、行政管理部、党群工作部、党委办、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行政、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宣传、通讯、机要、档案等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相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关工作人员</w:t>
            </w:r>
          </w:p>
        </w:tc>
        <w:tc>
          <w:tcPr>
            <w:tcW w:w="23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新《档案法》解读与档案管理工作重点解析；行政服务创新与行政统筹管理；督查督办工作实务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；疫情防控常态化下的办公室管理工作；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公文写作实务与公文规范化处理流程（决议、决定、议案、意见、报告、请示、批复、通报、通告、命令、通知、函、纪要等）；公文传阅、归档的要求和程序；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现代化办公的新技术应用；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行政（秘书）必备的日常事务管理技能；高效的会议组织与管理；政务信息写作；准确把握新时代下保密工作新要求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文件管理办法与保密文件管理；公文处理中的常见错误分析及案例解读；讲话稿的要求、写作技巧和范例；调研报告的类型、写作要求和技巧；涉密文件、会议、办事的工作规范。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" w:hRule="atLeast"/>
        </w:trPr>
        <w:tc>
          <w:tcPr>
            <w:tcW w:w="30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0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行业相关国家政策、法律法规、工作条例、指南等内容宣贯、解读、分析</w:t>
            </w:r>
          </w:p>
        </w:tc>
        <w:tc>
          <w:tcPr>
            <w:tcW w:w="1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各会员单位和港口行业相关单位</w:t>
            </w:r>
          </w:p>
        </w:tc>
        <w:tc>
          <w:tcPr>
            <w:tcW w:w="23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港口经营管理规定、港口收费计费办法、危险货物运输相关规则等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309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0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中港协法律与商务专业委员会培训班</w:t>
            </w:r>
          </w:p>
        </w:tc>
        <w:tc>
          <w:tcPr>
            <w:tcW w:w="1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各会员单位和全国港口法律与商务行业相关单位</w:t>
            </w:r>
          </w:p>
        </w:tc>
        <w:tc>
          <w:tcPr>
            <w:tcW w:w="23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港口法、海商法、反垄断法、反不正当竞争法等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309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0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中港协标准化专业委员会培训班</w:t>
            </w:r>
          </w:p>
        </w:tc>
        <w:tc>
          <w:tcPr>
            <w:tcW w:w="1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各会员单位和港口行业相关单位</w:t>
            </w:r>
          </w:p>
        </w:tc>
        <w:tc>
          <w:tcPr>
            <w:tcW w:w="23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港口行业团体标准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309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0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网络专题培训班</w:t>
            </w:r>
          </w:p>
        </w:tc>
        <w:tc>
          <w:tcPr>
            <w:tcW w:w="1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各会员单位</w:t>
            </w:r>
          </w:p>
        </w:tc>
        <w:tc>
          <w:tcPr>
            <w:tcW w:w="23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港口行业热点问题、港口企业实际需求等</w:t>
            </w:r>
          </w:p>
        </w:tc>
      </w:tr>
    </w:tbl>
    <w:p>
      <w:pPr>
        <w:rPr>
          <w:rFonts w:hint="eastAsia" w:ascii="仿宋" w:hAnsi="仿宋" w:eastAsia="仿宋"/>
          <w:b/>
          <w:color w:val="0000FF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sz w:val="28"/>
          <w:szCs w:val="28"/>
        </w:rPr>
        <w:t>注：具体以开班正式通知为准</w:t>
      </w:r>
    </w:p>
    <w:sectPr>
      <w:footerReference r:id="rId3" w:type="default"/>
      <w:footerReference r:id="rId4" w:type="even"/>
      <w:pgSz w:w="16838" w:h="11906" w:orient="landscape"/>
      <w:pgMar w:top="1019" w:right="1134" w:bottom="1103" w:left="1134" w:header="851" w:footer="992" w:gutter="0"/>
      <w:pgNumType w:start="3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nsolas">
    <w:panose1 w:val="020B0609020204030204"/>
    <w:charset w:val="00"/>
    <w:family w:val="modern"/>
    <w:pitch w:val="default"/>
    <w:sig w:usb0="E10002FF" w:usb1="4000FCFF" w:usb2="00000009" w:usb3="00000000" w:csb0="600001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1</w:t>
    </w:r>
    <w:r>
      <w:rPr>
        <w:rStyle w:val="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4B5"/>
    <w:rsid w:val="00044142"/>
    <w:rsid w:val="000526E3"/>
    <w:rsid w:val="000C5280"/>
    <w:rsid w:val="001014DF"/>
    <w:rsid w:val="001841A0"/>
    <w:rsid w:val="001A2BA9"/>
    <w:rsid w:val="00232370"/>
    <w:rsid w:val="00241151"/>
    <w:rsid w:val="00267A4E"/>
    <w:rsid w:val="00270A3B"/>
    <w:rsid w:val="002B109F"/>
    <w:rsid w:val="002C4373"/>
    <w:rsid w:val="002D37E4"/>
    <w:rsid w:val="002F26C5"/>
    <w:rsid w:val="002F4609"/>
    <w:rsid w:val="003501FF"/>
    <w:rsid w:val="00373DF6"/>
    <w:rsid w:val="003908CF"/>
    <w:rsid w:val="00430F1D"/>
    <w:rsid w:val="00444C60"/>
    <w:rsid w:val="004A25DA"/>
    <w:rsid w:val="004D3744"/>
    <w:rsid w:val="004F358F"/>
    <w:rsid w:val="0050459A"/>
    <w:rsid w:val="00534C4D"/>
    <w:rsid w:val="0055774E"/>
    <w:rsid w:val="005643FB"/>
    <w:rsid w:val="00573C5F"/>
    <w:rsid w:val="00585B69"/>
    <w:rsid w:val="006244D5"/>
    <w:rsid w:val="006725A8"/>
    <w:rsid w:val="006B04B5"/>
    <w:rsid w:val="006E09CF"/>
    <w:rsid w:val="006F103E"/>
    <w:rsid w:val="0072229B"/>
    <w:rsid w:val="0073263C"/>
    <w:rsid w:val="0074026F"/>
    <w:rsid w:val="00793C98"/>
    <w:rsid w:val="007D5905"/>
    <w:rsid w:val="007F37B8"/>
    <w:rsid w:val="00846BAF"/>
    <w:rsid w:val="0088331F"/>
    <w:rsid w:val="0089366F"/>
    <w:rsid w:val="008F5D49"/>
    <w:rsid w:val="009167C6"/>
    <w:rsid w:val="00946ABA"/>
    <w:rsid w:val="00954EC4"/>
    <w:rsid w:val="00980F0F"/>
    <w:rsid w:val="009935DE"/>
    <w:rsid w:val="009941B2"/>
    <w:rsid w:val="009D32EC"/>
    <w:rsid w:val="00A02B6B"/>
    <w:rsid w:val="00AE3298"/>
    <w:rsid w:val="00B2139A"/>
    <w:rsid w:val="00B26EFD"/>
    <w:rsid w:val="00B82E0D"/>
    <w:rsid w:val="00BE4BEC"/>
    <w:rsid w:val="00C220EE"/>
    <w:rsid w:val="00C7366F"/>
    <w:rsid w:val="00CB401F"/>
    <w:rsid w:val="00CB7475"/>
    <w:rsid w:val="00CF004B"/>
    <w:rsid w:val="00D22B2E"/>
    <w:rsid w:val="00D341F4"/>
    <w:rsid w:val="00D42448"/>
    <w:rsid w:val="00DE6416"/>
    <w:rsid w:val="00E37583"/>
    <w:rsid w:val="00E65ED7"/>
    <w:rsid w:val="00EA2A08"/>
    <w:rsid w:val="00F22F62"/>
    <w:rsid w:val="00F3602C"/>
    <w:rsid w:val="00F633D1"/>
    <w:rsid w:val="00F65EC2"/>
    <w:rsid w:val="00FA5B6B"/>
    <w:rsid w:val="00FE2B4E"/>
    <w:rsid w:val="00FE4263"/>
    <w:rsid w:val="0114596E"/>
    <w:rsid w:val="01371AE3"/>
    <w:rsid w:val="020F0876"/>
    <w:rsid w:val="031C4E28"/>
    <w:rsid w:val="04271BEE"/>
    <w:rsid w:val="04C85DA7"/>
    <w:rsid w:val="067527E4"/>
    <w:rsid w:val="07042A8C"/>
    <w:rsid w:val="07A02CB8"/>
    <w:rsid w:val="085C62B9"/>
    <w:rsid w:val="096D3678"/>
    <w:rsid w:val="0A531EA4"/>
    <w:rsid w:val="0AA35FAC"/>
    <w:rsid w:val="0B106CD8"/>
    <w:rsid w:val="0BE01248"/>
    <w:rsid w:val="0F8D3995"/>
    <w:rsid w:val="125324E0"/>
    <w:rsid w:val="14144D21"/>
    <w:rsid w:val="14885FCB"/>
    <w:rsid w:val="148D454F"/>
    <w:rsid w:val="15BD5595"/>
    <w:rsid w:val="17CF5357"/>
    <w:rsid w:val="182F5C00"/>
    <w:rsid w:val="18D465DC"/>
    <w:rsid w:val="196D3F8E"/>
    <w:rsid w:val="199E5352"/>
    <w:rsid w:val="1ABE2F5D"/>
    <w:rsid w:val="1EE60E0B"/>
    <w:rsid w:val="1EEB6E52"/>
    <w:rsid w:val="1F355863"/>
    <w:rsid w:val="1F773852"/>
    <w:rsid w:val="1F7B223F"/>
    <w:rsid w:val="1FA72342"/>
    <w:rsid w:val="1FAF5B4A"/>
    <w:rsid w:val="1FBB15CB"/>
    <w:rsid w:val="1FD23C3D"/>
    <w:rsid w:val="2211740D"/>
    <w:rsid w:val="238C00D4"/>
    <w:rsid w:val="253F6EE5"/>
    <w:rsid w:val="25401F4D"/>
    <w:rsid w:val="261E1848"/>
    <w:rsid w:val="277043B6"/>
    <w:rsid w:val="287425F8"/>
    <w:rsid w:val="28EB61C1"/>
    <w:rsid w:val="29242B62"/>
    <w:rsid w:val="29F10DEC"/>
    <w:rsid w:val="2AE637A8"/>
    <w:rsid w:val="2BD33644"/>
    <w:rsid w:val="2BE175AF"/>
    <w:rsid w:val="2C0B4D53"/>
    <w:rsid w:val="2D7A632C"/>
    <w:rsid w:val="2D820D51"/>
    <w:rsid w:val="2D841C58"/>
    <w:rsid w:val="2EE8017B"/>
    <w:rsid w:val="2FE47BCA"/>
    <w:rsid w:val="2FF674A5"/>
    <w:rsid w:val="316E1295"/>
    <w:rsid w:val="33BD344A"/>
    <w:rsid w:val="36701FE3"/>
    <w:rsid w:val="372A6E57"/>
    <w:rsid w:val="376270D6"/>
    <w:rsid w:val="37F36FE8"/>
    <w:rsid w:val="39802970"/>
    <w:rsid w:val="3A131692"/>
    <w:rsid w:val="3B47211F"/>
    <w:rsid w:val="3C714D9E"/>
    <w:rsid w:val="3C9152AB"/>
    <w:rsid w:val="3DEC4CC0"/>
    <w:rsid w:val="3EB4398D"/>
    <w:rsid w:val="41476C55"/>
    <w:rsid w:val="41AE758B"/>
    <w:rsid w:val="4294050E"/>
    <w:rsid w:val="42B53C8B"/>
    <w:rsid w:val="42C146C5"/>
    <w:rsid w:val="430A2516"/>
    <w:rsid w:val="440E279A"/>
    <w:rsid w:val="442E2428"/>
    <w:rsid w:val="45695D39"/>
    <w:rsid w:val="46DB6DCA"/>
    <w:rsid w:val="487C66BC"/>
    <w:rsid w:val="48CA0E84"/>
    <w:rsid w:val="49863D45"/>
    <w:rsid w:val="49891613"/>
    <w:rsid w:val="4D606086"/>
    <w:rsid w:val="4DF96416"/>
    <w:rsid w:val="4EC90391"/>
    <w:rsid w:val="4FB80089"/>
    <w:rsid w:val="506E6A6C"/>
    <w:rsid w:val="50E434A7"/>
    <w:rsid w:val="510B5209"/>
    <w:rsid w:val="537D2834"/>
    <w:rsid w:val="538C0003"/>
    <w:rsid w:val="53EB2C96"/>
    <w:rsid w:val="54841AB9"/>
    <w:rsid w:val="54F97605"/>
    <w:rsid w:val="55C23CC1"/>
    <w:rsid w:val="55C420E5"/>
    <w:rsid w:val="588D20C8"/>
    <w:rsid w:val="589B2453"/>
    <w:rsid w:val="59941866"/>
    <w:rsid w:val="59E152CA"/>
    <w:rsid w:val="5A585984"/>
    <w:rsid w:val="5AF5460D"/>
    <w:rsid w:val="5C24078D"/>
    <w:rsid w:val="5F2C4A56"/>
    <w:rsid w:val="5F774B94"/>
    <w:rsid w:val="617B24A3"/>
    <w:rsid w:val="636F164E"/>
    <w:rsid w:val="64D3053C"/>
    <w:rsid w:val="64D519BF"/>
    <w:rsid w:val="65B868DF"/>
    <w:rsid w:val="669950D5"/>
    <w:rsid w:val="67743DF4"/>
    <w:rsid w:val="6A0E2718"/>
    <w:rsid w:val="6A435568"/>
    <w:rsid w:val="6AD701F8"/>
    <w:rsid w:val="6D3976D2"/>
    <w:rsid w:val="6E1F3E81"/>
    <w:rsid w:val="6E5F3D3B"/>
    <w:rsid w:val="6F2D03F1"/>
    <w:rsid w:val="723D184E"/>
    <w:rsid w:val="73BD1719"/>
    <w:rsid w:val="73D05511"/>
    <w:rsid w:val="73D2231F"/>
    <w:rsid w:val="7438571D"/>
    <w:rsid w:val="75B6519E"/>
    <w:rsid w:val="765F731E"/>
    <w:rsid w:val="769B3740"/>
    <w:rsid w:val="76C51234"/>
    <w:rsid w:val="77DD0FB0"/>
    <w:rsid w:val="79D81762"/>
    <w:rsid w:val="7A9C6CCE"/>
    <w:rsid w:val="7B7B56CD"/>
    <w:rsid w:val="7C3B08C1"/>
    <w:rsid w:val="7D0552E1"/>
    <w:rsid w:val="7D8F588B"/>
    <w:rsid w:val="7DC4505D"/>
    <w:rsid w:val="7E5B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line="15" w:lineRule="atLeast"/>
      <w:jc w:val="left"/>
      <w:outlineLvl w:val="0"/>
    </w:pPr>
    <w:rPr>
      <w:rFonts w:hint="eastAsia" w:ascii="宋体" w:hAnsi="宋体"/>
      <w:kern w:val="44"/>
      <w:sz w:val="18"/>
      <w:szCs w:val="1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Strong"/>
    <w:basedOn w:val="6"/>
    <w:qFormat/>
    <w:uiPriority w:val="22"/>
    <w:rPr>
      <w:b/>
    </w:rPr>
  </w:style>
  <w:style w:type="character" w:styleId="8">
    <w:name w:val="page number"/>
    <w:basedOn w:val="6"/>
    <w:qFormat/>
    <w:uiPriority w:val="0"/>
  </w:style>
  <w:style w:type="character" w:styleId="9">
    <w:name w:val="FollowedHyperlink"/>
    <w:basedOn w:val="6"/>
    <w:semiHidden/>
    <w:unhideWhenUsed/>
    <w:qFormat/>
    <w:uiPriority w:val="99"/>
    <w:rPr>
      <w:color w:val="333333"/>
      <w:u w:val="none"/>
    </w:rPr>
  </w:style>
  <w:style w:type="character" w:styleId="10">
    <w:name w:val="Emphasis"/>
    <w:basedOn w:val="6"/>
    <w:qFormat/>
    <w:uiPriority w:val="20"/>
  </w:style>
  <w:style w:type="character" w:styleId="11">
    <w:name w:val="HTML Definition"/>
    <w:basedOn w:val="6"/>
    <w:semiHidden/>
    <w:unhideWhenUsed/>
    <w:qFormat/>
    <w:uiPriority w:val="99"/>
    <w:rPr>
      <w:i/>
      <w:vanish/>
    </w:rPr>
  </w:style>
  <w:style w:type="character" w:styleId="12">
    <w:name w:val="Hyperlink"/>
    <w:basedOn w:val="6"/>
    <w:semiHidden/>
    <w:unhideWhenUsed/>
    <w:qFormat/>
    <w:uiPriority w:val="99"/>
    <w:rPr>
      <w:color w:val="333333"/>
      <w:u w:val="none"/>
    </w:rPr>
  </w:style>
  <w:style w:type="character" w:styleId="13">
    <w:name w:val="HTML Code"/>
    <w:basedOn w:val="6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color="auto" w:fill="F9F2F4"/>
    </w:rPr>
  </w:style>
  <w:style w:type="character" w:styleId="14">
    <w:name w:val="HTML Keyboard"/>
    <w:basedOn w:val="6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color="auto" w:fill="333333"/>
    </w:rPr>
  </w:style>
  <w:style w:type="character" w:styleId="15">
    <w:name w:val="HTML Sample"/>
    <w:basedOn w:val="6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6">
    <w:name w:val="页脚 字符"/>
    <w:basedOn w:val="6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hzlc"/>
    <w:basedOn w:val="6"/>
    <w:qFormat/>
    <w:uiPriority w:val="0"/>
  </w:style>
  <w:style w:type="character" w:customStyle="1" w:styleId="18">
    <w:name w:val="dxal"/>
    <w:basedOn w:val="6"/>
    <w:qFormat/>
    <w:uiPriority w:val="0"/>
  </w:style>
  <w:style w:type="character" w:customStyle="1" w:styleId="19">
    <w:name w:val="hover25"/>
    <w:basedOn w:val="6"/>
    <w:qFormat/>
    <w:uiPriority w:val="0"/>
    <w:rPr>
      <w:shd w:val="clear" w:color="auto" w:fill="AB0101"/>
    </w:rPr>
  </w:style>
  <w:style w:type="character" w:customStyle="1" w:styleId="20">
    <w:name w:val="jpkc"/>
    <w:basedOn w:val="6"/>
    <w:qFormat/>
    <w:uiPriority w:val="0"/>
  </w:style>
  <w:style w:type="character" w:customStyle="1" w:styleId="21">
    <w:name w:val="hzly"/>
    <w:basedOn w:val="6"/>
    <w:qFormat/>
    <w:uiPriority w:val="0"/>
  </w:style>
  <w:style w:type="character" w:customStyle="1" w:styleId="22">
    <w:name w:val="lxwm"/>
    <w:basedOn w:val="6"/>
    <w:qFormat/>
    <w:uiPriority w:val="0"/>
  </w:style>
  <w:style w:type="character" w:customStyle="1" w:styleId="23">
    <w:name w:val="school"/>
    <w:basedOn w:val="6"/>
    <w:qFormat/>
    <w:uiPriority w:val="0"/>
  </w:style>
  <w:style w:type="character" w:customStyle="1" w:styleId="24">
    <w:name w:val="price_s"/>
    <w:basedOn w:val="6"/>
    <w:qFormat/>
    <w:uiPriority w:val="0"/>
  </w:style>
  <w:style w:type="paragraph" w:customStyle="1" w:styleId="25">
    <w:name w:val="_Style 19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/>
      <w:vanish/>
      <w:sz w:val="16"/>
    </w:rPr>
  </w:style>
  <w:style w:type="paragraph" w:customStyle="1" w:styleId="26">
    <w:name w:val="_Style 20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/>
      <w:vanish/>
      <w:sz w:val="16"/>
    </w:rPr>
  </w:style>
  <w:style w:type="character" w:customStyle="1" w:styleId="27">
    <w:name w:val="badge"/>
    <w:basedOn w:val="6"/>
    <w:qFormat/>
    <w:uiPriority w:val="0"/>
  </w:style>
  <w:style w:type="character" w:customStyle="1" w:styleId="28">
    <w:name w:val="hover35"/>
    <w:basedOn w:val="6"/>
    <w:qFormat/>
    <w:uiPriority w:val="0"/>
    <w:rPr>
      <w:color w:val="FFFFFF"/>
      <w:shd w:val="clear" w:color="auto" w:fill="FFA800"/>
    </w:rPr>
  </w:style>
  <w:style w:type="character" w:customStyle="1" w:styleId="29">
    <w:name w:val="hover36"/>
    <w:basedOn w:val="6"/>
    <w:qFormat/>
    <w:uiPriority w:val="0"/>
    <w:rPr>
      <w:color w:val="999999"/>
      <w:bdr w:val="single" w:color="CCCCCC" w:sz="6" w:space="0"/>
      <w:shd w:val="clear" w:color="auto" w:fill="FFFFFF"/>
    </w:rPr>
  </w:style>
  <w:style w:type="character" w:customStyle="1" w:styleId="30">
    <w:name w:val="hover37"/>
    <w:basedOn w:val="6"/>
    <w:qFormat/>
    <w:uiPriority w:val="0"/>
    <w:rPr>
      <w:color w:val="999999"/>
      <w:bdr w:val="single" w:color="CCCCCC" w:sz="6" w:space="0"/>
      <w:shd w:val="clear" w:color="auto" w:fill="FFFFFF"/>
    </w:rPr>
  </w:style>
  <w:style w:type="character" w:customStyle="1" w:styleId="31">
    <w:name w:val="last-child1"/>
    <w:basedOn w:val="6"/>
    <w:qFormat/>
    <w:uiPriority w:val="0"/>
  </w:style>
  <w:style w:type="character" w:customStyle="1" w:styleId="32">
    <w:name w:val="last-child2"/>
    <w:basedOn w:val="6"/>
    <w:qFormat/>
    <w:uiPriority w:val="0"/>
  </w:style>
  <w:style w:type="character" w:customStyle="1" w:styleId="33">
    <w:name w:val="last-child"/>
    <w:basedOn w:val="6"/>
    <w:qFormat/>
    <w:uiPriority w:val="0"/>
  </w:style>
  <w:style w:type="character" w:customStyle="1" w:styleId="34">
    <w:name w:val="hover34"/>
    <w:basedOn w:val="6"/>
    <w:qFormat/>
    <w:uiPriority w:val="0"/>
    <w:rPr>
      <w:color w:val="999999"/>
      <w:bdr w:val="single" w:color="CCCCCC" w:sz="6" w:space="0"/>
      <w:shd w:val="clear" w:color="auto" w:fill="FFFFFF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5</Pages>
  <Words>445</Words>
  <Characters>2543</Characters>
  <Lines>21</Lines>
  <Paragraphs>5</Paragraphs>
  <TotalTime>0</TotalTime>
  <ScaleCrop>false</ScaleCrop>
  <LinksUpToDate>false</LinksUpToDate>
  <CharactersWithSpaces>2983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2019-10-10T05:55:00Z</dcterms:created>
  <dc:creator>jy z</dc:creator>
  <cp:lastModifiedBy>张健</cp:lastModifiedBy>
  <cp:lastPrinted>2021-09-02T07:50:00Z</cp:lastPrinted>
  <dcterms:modified xsi:type="dcterms:W3CDTF">2021-10-23T05:34:12Z</dcterms:modified>
  <cp:revision>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958075508F004B5DBBD36FE770A5A942</vt:lpwstr>
  </property>
</Properties>
</file>